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862" w:rsidRDefault="00AE7862" w:rsidP="00AE7862">
      <w:pPr>
        <w:pStyle w:val="3"/>
        <w:kinsoku w:val="0"/>
        <w:overflowPunct w:val="0"/>
        <w:spacing w:line="361" w:lineRule="exact"/>
        <w:ind w:left="252"/>
        <w:rPr>
          <w:b w:val="0"/>
          <w:bCs w:val="0"/>
        </w:rPr>
      </w:pPr>
      <w:bookmarkStart w:id="0" w:name="_GoBack"/>
      <w:bookmarkEnd w:id="0"/>
      <w:r>
        <w:rPr>
          <w:rFonts w:hint="eastAsia"/>
          <w:spacing w:val="-1"/>
        </w:rPr>
        <w:t>附錄</w:t>
      </w:r>
      <w:proofErr w:type="gramStart"/>
      <w:r>
        <w:rPr>
          <w:rFonts w:hint="eastAsia"/>
          <w:spacing w:val="-1"/>
        </w:rPr>
        <w:t>一</w:t>
      </w:r>
      <w:proofErr w:type="gramEnd"/>
      <w:r>
        <w:rPr>
          <w:rFonts w:hint="eastAsia"/>
          <w:spacing w:val="-1"/>
        </w:rPr>
        <w:t>：大學辦理國外學歷</w:t>
      </w:r>
      <w:proofErr w:type="gramStart"/>
      <w:r>
        <w:rPr>
          <w:rFonts w:hint="eastAsia"/>
          <w:spacing w:val="-1"/>
        </w:rPr>
        <w:t>採</w:t>
      </w:r>
      <w:proofErr w:type="gramEnd"/>
      <w:r>
        <w:rPr>
          <w:rFonts w:hint="eastAsia"/>
          <w:spacing w:val="-1"/>
        </w:rPr>
        <w:t>認辦法</w:t>
      </w:r>
    </w:p>
    <w:p w:rsidR="00AE7862" w:rsidRDefault="00AE7862" w:rsidP="00AE7862">
      <w:pPr>
        <w:pStyle w:val="a3"/>
        <w:kinsoku w:val="0"/>
        <w:overflowPunct w:val="0"/>
        <w:spacing w:before="6"/>
        <w:ind w:left="0"/>
        <w:rPr>
          <w:b/>
          <w:bCs/>
        </w:rPr>
      </w:pPr>
    </w:p>
    <w:p w:rsidR="00AE7862" w:rsidRDefault="00AE7862" w:rsidP="00AE7862">
      <w:pPr>
        <w:pStyle w:val="a3"/>
        <w:kinsoku w:val="0"/>
        <w:overflowPunct w:val="0"/>
        <w:ind w:left="3370"/>
      </w:pPr>
      <w:r>
        <w:rPr>
          <w:rFonts w:hint="eastAsia"/>
          <w:b/>
          <w:bCs/>
          <w:spacing w:val="-1"/>
        </w:rPr>
        <w:t>大學辦理國外學歷</w:t>
      </w:r>
      <w:proofErr w:type="gramStart"/>
      <w:r>
        <w:rPr>
          <w:rFonts w:hint="eastAsia"/>
          <w:b/>
          <w:bCs/>
          <w:spacing w:val="-1"/>
        </w:rPr>
        <w:t>採</w:t>
      </w:r>
      <w:proofErr w:type="gramEnd"/>
      <w:r>
        <w:rPr>
          <w:rFonts w:hint="eastAsia"/>
          <w:b/>
          <w:bCs/>
          <w:spacing w:val="-1"/>
        </w:rPr>
        <w:t>認辦法</w:t>
      </w:r>
    </w:p>
    <w:p w:rsidR="00AE7862" w:rsidRDefault="00AE7862" w:rsidP="00AE7862">
      <w:pPr>
        <w:pStyle w:val="a3"/>
        <w:kinsoku w:val="0"/>
        <w:overflowPunct w:val="0"/>
        <w:spacing w:before="2"/>
        <w:ind w:left="0"/>
        <w:rPr>
          <w:b/>
          <w:bCs/>
          <w:sz w:val="23"/>
          <w:szCs w:val="23"/>
        </w:rPr>
      </w:pPr>
    </w:p>
    <w:p w:rsidR="00AE7862" w:rsidRDefault="00AE7862" w:rsidP="00AE7862">
      <w:pPr>
        <w:pStyle w:val="a3"/>
        <w:kinsoku w:val="0"/>
        <w:overflowPunct w:val="0"/>
        <w:ind w:left="5221" w:right="117"/>
        <w:jc w:val="center"/>
        <w:rPr>
          <w:sz w:val="20"/>
          <w:szCs w:val="20"/>
        </w:rPr>
      </w:pPr>
      <w:r>
        <w:rPr>
          <w:rFonts w:hint="eastAsia"/>
          <w:sz w:val="20"/>
          <w:szCs w:val="20"/>
        </w:rPr>
        <w:t>教育部</w:t>
      </w:r>
      <w:r>
        <w:rPr>
          <w:rFonts w:ascii="Times New Roman" w:cs="Times New Roman"/>
          <w:spacing w:val="-1"/>
          <w:sz w:val="20"/>
          <w:szCs w:val="20"/>
        </w:rPr>
        <w:t>95</w:t>
      </w:r>
      <w:r>
        <w:rPr>
          <w:rFonts w:hint="eastAsia"/>
          <w:sz w:val="20"/>
          <w:szCs w:val="20"/>
        </w:rPr>
        <w:t>年</w:t>
      </w:r>
      <w:r>
        <w:rPr>
          <w:rFonts w:ascii="Times New Roman" w:cs="Times New Roman"/>
          <w:spacing w:val="-1"/>
          <w:sz w:val="20"/>
          <w:szCs w:val="20"/>
        </w:rPr>
        <w:t>10</w:t>
      </w:r>
      <w:r>
        <w:rPr>
          <w:rFonts w:hint="eastAsia"/>
          <w:sz w:val="20"/>
          <w:szCs w:val="20"/>
        </w:rPr>
        <w:t>月</w:t>
      </w:r>
      <w:r>
        <w:rPr>
          <w:rFonts w:ascii="Times New Roman" w:cs="Times New Roman"/>
          <w:sz w:val="20"/>
          <w:szCs w:val="20"/>
        </w:rPr>
        <w:t>2</w:t>
      </w:r>
      <w:r>
        <w:rPr>
          <w:rFonts w:hint="eastAsia"/>
          <w:sz w:val="20"/>
          <w:szCs w:val="20"/>
        </w:rPr>
        <w:t>日</w:t>
      </w:r>
      <w:proofErr w:type="gramStart"/>
      <w:r>
        <w:rPr>
          <w:rFonts w:hint="eastAsia"/>
          <w:sz w:val="20"/>
          <w:szCs w:val="20"/>
        </w:rPr>
        <w:t>台參字第</w:t>
      </w:r>
      <w:r>
        <w:rPr>
          <w:rFonts w:ascii="Times New Roman" w:cs="Times New Roman"/>
          <w:sz w:val="20"/>
          <w:szCs w:val="20"/>
        </w:rPr>
        <w:t>0950143638</w:t>
      </w:r>
      <w:proofErr w:type="gramEnd"/>
      <w:r>
        <w:rPr>
          <w:rFonts w:ascii="Times New Roman" w:cs="Times New Roman"/>
          <w:sz w:val="20"/>
          <w:szCs w:val="20"/>
        </w:rPr>
        <w:t>C</w:t>
      </w:r>
      <w:r>
        <w:rPr>
          <w:rFonts w:hint="eastAsia"/>
          <w:sz w:val="20"/>
          <w:szCs w:val="20"/>
        </w:rPr>
        <w:t>號訂定</w:t>
      </w:r>
    </w:p>
    <w:p w:rsidR="00AE7862" w:rsidRDefault="00AE7862" w:rsidP="00AE7862">
      <w:pPr>
        <w:pStyle w:val="a3"/>
        <w:kinsoku w:val="0"/>
        <w:overflowPunct w:val="0"/>
        <w:spacing w:before="135"/>
        <w:ind w:left="5022" w:right="117"/>
        <w:jc w:val="center"/>
        <w:rPr>
          <w:sz w:val="20"/>
          <w:szCs w:val="20"/>
        </w:rPr>
      </w:pPr>
      <w:r>
        <w:rPr>
          <w:rFonts w:hint="eastAsia"/>
          <w:sz w:val="20"/>
          <w:szCs w:val="20"/>
        </w:rPr>
        <w:t>教育部</w:t>
      </w:r>
      <w:r>
        <w:rPr>
          <w:rFonts w:ascii="Times New Roman" w:cs="Times New Roman"/>
          <w:spacing w:val="-1"/>
          <w:sz w:val="20"/>
          <w:szCs w:val="20"/>
        </w:rPr>
        <w:t>101</w:t>
      </w:r>
      <w:r>
        <w:rPr>
          <w:rFonts w:hint="eastAsia"/>
          <w:sz w:val="20"/>
          <w:szCs w:val="20"/>
        </w:rPr>
        <w:t>年</w:t>
      </w:r>
      <w:r>
        <w:rPr>
          <w:rFonts w:ascii="Times New Roman" w:cs="Times New Roman"/>
          <w:sz w:val="20"/>
          <w:szCs w:val="20"/>
        </w:rPr>
        <w:t>4</w:t>
      </w:r>
      <w:r>
        <w:rPr>
          <w:rFonts w:hint="eastAsia"/>
          <w:sz w:val="20"/>
          <w:szCs w:val="20"/>
        </w:rPr>
        <w:t>月</w:t>
      </w:r>
      <w:r>
        <w:rPr>
          <w:rFonts w:ascii="Times New Roman" w:cs="Times New Roman"/>
          <w:sz w:val="20"/>
          <w:szCs w:val="20"/>
        </w:rPr>
        <w:t>3</w:t>
      </w:r>
      <w:r>
        <w:rPr>
          <w:rFonts w:hint="eastAsia"/>
          <w:sz w:val="20"/>
          <w:szCs w:val="20"/>
        </w:rPr>
        <w:t>日</w:t>
      </w:r>
      <w:proofErr w:type="gramStart"/>
      <w:r>
        <w:rPr>
          <w:rFonts w:hint="eastAsia"/>
          <w:sz w:val="20"/>
          <w:szCs w:val="20"/>
        </w:rPr>
        <w:t>台參字第</w:t>
      </w:r>
      <w:r>
        <w:rPr>
          <w:rFonts w:ascii="Times New Roman" w:cs="Times New Roman"/>
          <w:sz w:val="20"/>
          <w:szCs w:val="20"/>
        </w:rPr>
        <w:t>1010053979</w:t>
      </w:r>
      <w:proofErr w:type="gramEnd"/>
      <w:r>
        <w:rPr>
          <w:rFonts w:ascii="Times New Roman" w:cs="Times New Roman"/>
          <w:sz w:val="20"/>
          <w:szCs w:val="20"/>
        </w:rPr>
        <w:t>C</w:t>
      </w:r>
      <w:r>
        <w:rPr>
          <w:rFonts w:hint="eastAsia"/>
          <w:sz w:val="20"/>
          <w:szCs w:val="20"/>
        </w:rPr>
        <w:t>號令修正</w:t>
      </w:r>
    </w:p>
    <w:p w:rsidR="00AE7862" w:rsidRDefault="00AE7862" w:rsidP="00AE7862">
      <w:pPr>
        <w:pStyle w:val="a3"/>
        <w:kinsoku w:val="0"/>
        <w:overflowPunct w:val="0"/>
        <w:spacing w:before="133"/>
        <w:ind w:left="4486"/>
        <w:rPr>
          <w:sz w:val="20"/>
          <w:szCs w:val="20"/>
        </w:rPr>
      </w:pPr>
      <w:r>
        <w:rPr>
          <w:rFonts w:hint="eastAsia"/>
          <w:sz w:val="20"/>
          <w:szCs w:val="20"/>
        </w:rPr>
        <w:t>教育部</w:t>
      </w:r>
      <w:r>
        <w:rPr>
          <w:rFonts w:ascii="Times New Roman" w:cs="Times New Roman"/>
          <w:spacing w:val="-1"/>
          <w:sz w:val="20"/>
          <w:szCs w:val="20"/>
        </w:rPr>
        <w:t>103</w:t>
      </w:r>
      <w:r>
        <w:rPr>
          <w:rFonts w:hint="eastAsia"/>
          <w:sz w:val="20"/>
          <w:szCs w:val="20"/>
        </w:rPr>
        <w:t>年</w:t>
      </w:r>
      <w:r>
        <w:rPr>
          <w:rFonts w:ascii="Times New Roman" w:cs="Times New Roman"/>
          <w:sz w:val="20"/>
          <w:szCs w:val="20"/>
        </w:rPr>
        <w:t>8</w:t>
      </w:r>
      <w:r>
        <w:rPr>
          <w:rFonts w:hint="eastAsia"/>
          <w:sz w:val="20"/>
          <w:szCs w:val="20"/>
        </w:rPr>
        <w:t>月</w:t>
      </w:r>
      <w:r>
        <w:rPr>
          <w:rFonts w:ascii="Times New Roman" w:cs="Times New Roman"/>
          <w:sz w:val="20"/>
          <w:szCs w:val="20"/>
        </w:rPr>
        <w:t>5</w:t>
      </w:r>
      <w:r>
        <w:rPr>
          <w:rFonts w:hint="eastAsia"/>
          <w:sz w:val="20"/>
          <w:szCs w:val="20"/>
        </w:rPr>
        <w:t>日</w:t>
      </w:r>
      <w:proofErr w:type="gramStart"/>
      <w:r>
        <w:rPr>
          <w:rFonts w:hint="eastAsia"/>
          <w:sz w:val="20"/>
          <w:szCs w:val="20"/>
        </w:rPr>
        <w:t>臺</w:t>
      </w:r>
      <w:proofErr w:type="gramEnd"/>
      <w:r>
        <w:rPr>
          <w:rFonts w:hint="eastAsia"/>
          <w:sz w:val="20"/>
          <w:szCs w:val="20"/>
        </w:rPr>
        <w:t>教高</w:t>
      </w:r>
      <w:r>
        <w:rPr>
          <w:rFonts w:ascii="Times New Roman" w:cs="Times New Roman"/>
          <w:sz w:val="20"/>
          <w:szCs w:val="20"/>
        </w:rPr>
        <w:t>(</w:t>
      </w:r>
      <w:r>
        <w:rPr>
          <w:rFonts w:hint="eastAsia"/>
          <w:sz w:val="20"/>
          <w:szCs w:val="20"/>
        </w:rPr>
        <w:t>五</w:t>
      </w:r>
      <w:r>
        <w:rPr>
          <w:rFonts w:ascii="Times New Roman" w:cs="Times New Roman"/>
          <w:sz w:val="20"/>
          <w:szCs w:val="20"/>
        </w:rPr>
        <w:t>)</w:t>
      </w:r>
      <w:r>
        <w:rPr>
          <w:rFonts w:hint="eastAsia"/>
          <w:sz w:val="20"/>
          <w:szCs w:val="20"/>
        </w:rPr>
        <w:t>字第</w:t>
      </w:r>
      <w:r>
        <w:rPr>
          <w:rFonts w:ascii="Times New Roman" w:cs="Times New Roman"/>
          <w:sz w:val="20"/>
          <w:szCs w:val="20"/>
        </w:rPr>
        <w:t>1030103472B</w:t>
      </w:r>
      <w:r>
        <w:rPr>
          <w:rFonts w:hint="eastAsia"/>
          <w:sz w:val="20"/>
          <w:szCs w:val="20"/>
        </w:rPr>
        <w:t>號令修正</w:t>
      </w:r>
    </w:p>
    <w:p w:rsidR="00AE7862" w:rsidRDefault="00AE7862" w:rsidP="00AE7862">
      <w:pPr>
        <w:pStyle w:val="a3"/>
        <w:kinsoku w:val="0"/>
        <w:overflowPunct w:val="0"/>
        <w:spacing w:before="4"/>
        <w:ind w:left="0"/>
        <w:rPr>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1303"/>
        <w:gridCol w:w="8143"/>
      </w:tblGrid>
      <w:tr w:rsidR="00AE7862" w:rsidTr="00FC317D">
        <w:trPr>
          <w:trHeight w:hRule="exact" w:val="390"/>
        </w:trPr>
        <w:tc>
          <w:tcPr>
            <w:tcW w:w="1303" w:type="dxa"/>
            <w:tcBorders>
              <w:top w:val="nil"/>
              <w:left w:val="nil"/>
              <w:bottom w:val="nil"/>
              <w:right w:val="nil"/>
            </w:tcBorders>
          </w:tcPr>
          <w:p w:rsidR="00AE7862" w:rsidRDefault="00AE7862" w:rsidP="00FC317D">
            <w:pPr>
              <w:pStyle w:val="TableParagraph"/>
              <w:kinsoku w:val="0"/>
              <w:overflowPunct w:val="0"/>
              <w:spacing w:line="305" w:lineRule="exact"/>
              <w:ind w:left="230"/>
            </w:pPr>
            <w:hyperlink r:id="rId6" w:history="1">
              <w:r>
                <w:rPr>
                  <w:rFonts w:ascii="標楷體" w:eastAsia="標楷體" w:cs="標楷體" w:hint="eastAsia"/>
                </w:rPr>
                <w:t>第</w:t>
              </w:r>
              <w:r>
                <w:rPr>
                  <w:rFonts w:eastAsia="標楷體"/>
                </w:rPr>
                <w:t>1</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line="301" w:lineRule="exact"/>
              <w:ind w:left="232"/>
            </w:pPr>
            <w:r>
              <w:rPr>
                <w:rFonts w:ascii="標楷體" w:eastAsia="標楷體" w:cs="標楷體" w:hint="eastAsia"/>
              </w:rPr>
              <w:t>本辦法依大學法第二十八條第二項規定訂定之。</w:t>
            </w:r>
          </w:p>
        </w:tc>
      </w:tr>
      <w:tr w:rsidR="00AE7862" w:rsidTr="00FC317D">
        <w:trPr>
          <w:trHeight w:hRule="exact" w:val="420"/>
        </w:trPr>
        <w:tc>
          <w:tcPr>
            <w:tcW w:w="1303" w:type="dxa"/>
            <w:tcBorders>
              <w:top w:val="nil"/>
              <w:left w:val="nil"/>
              <w:bottom w:val="nil"/>
              <w:right w:val="nil"/>
            </w:tcBorders>
          </w:tcPr>
          <w:p w:rsidR="00AE7862" w:rsidRDefault="00AE7862" w:rsidP="00FC317D">
            <w:pPr>
              <w:pStyle w:val="TableParagraph"/>
              <w:kinsoku w:val="0"/>
              <w:overflowPunct w:val="0"/>
              <w:spacing w:before="16"/>
              <w:ind w:left="230"/>
            </w:pPr>
            <w:hyperlink r:id="rId7" w:history="1">
              <w:r>
                <w:rPr>
                  <w:rFonts w:ascii="標楷體" w:eastAsia="標楷體" w:cs="標楷體" w:hint="eastAsia"/>
                </w:rPr>
                <w:t>第</w:t>
              </w:r>
              <w:r>
                <w:rPr>
                  <w:rFonts w:eastAsia="標楷體"/>
                </w:rPr>
                <w:t>2</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before="16"/>
              <w:ind w:left="232"/>
            </w:pPr>
            <w:r>
              <w:rPr>
                <w:rFonts w:ascii="標楷體" w:eastAsia="標楷體" w:cs="標楷體" w:hint="eastAsia"/>
              </w:rPr>
              <w:t>大學辦理持國外學歷入學學生之學歷</w:t>
            </w:r>
            <w:proofErr w:type="gramStart"/>
            <w:r>
              <w:rPr>
                <w:rFonts w:ascii="標楷體" w:eastAsia="標楷體" w:cs="標楷體" w:hint="eastAsia"/>
              </w:rPr>
              <w:t>採</w:t>
            </w:r>
            <w:proofErr w:type="gramEnd"/>
            <w:r>
              <w:rPr>
                <w:rFonts w:ascii="標楷體" w:eastAsia="標楷體" w:cs="標楷體" w:hint="eastAsia"/>
              </w:rPr>
              <w:t>認事宜，應依本辦法規定為之。</w:t>
            </w:r>
          </w:p>
        </w:tc>
      </w:tr>
      <w:tr w:rsidR="00AE7862" w:rsidTr="00FC317D">
        <w:trPr>
          <w:trHeight w:hRule="exact" w:val="4020"/>
        </w:trPr>
        <w:tc>
          <w:tcPr>
            <w:tcW w:w="1303" w:type="dxa"/>
            <w:tcBorders>
              <w:top w:val="nil"/>
              <w:left w:val="nil"/>
              <w:bottom w:val="nil"/>
              <w:right w:val="nil"/>
            </w:tcBorders>
          </w:tcPr>
          <w:p w:rsidR="00AE7862" w:rsidRDefault="00AE7862" w:rsidP="00FC317D">
            <w:pPr>
              <w:pStyle w:val="TableParagraph"/>
              <w:kinsoku w:val="0"/>
              <w:overflowPunct w:val="0"/>
              <w:spacing w:before="16"/>
              <w:ind w:left="230"/>
            </w:pPr>
            <w:hyperlink r:id="rId8" w:history="1">
              <w:r>
                <w:rPr>
                  <w:rFonts w:ascii="標楷體" w:eastAsia="標楷體" w:cs="標楷體" w:hint="eastAsia"/>
                </w:rPr>
                <w:t>第</w:t>
              </w:r>
              <w:r>
                <w:rPr>
                  <w:rFonts w:eastAsia="標楷體"/>
                </w:rPr>
                <w:t>3</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本辦法用詞，定義如下：</w:t>
            </w:r>
          </w:p>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一、</w:t>
            </w:r>
            <w:proofErr w:type="gramStart"/>
            <w:r>
              <w:rPr>
                <w:rFonts w:ascii="標楷體" w:eastAsia="標楷體" w:cs="標楷體" w:hint="eastAsia"/>
              </w:rPr>
              <w:t>採</w:t>
            </w:r>
            <w:proofErr w:type="gramEnd"/>
            <w:r>
              <w:rPr>
                <w:rFonts w:ascii="標楷體" w:eastAsia="標楷體" w:cs="標楷體" w:hint="eastAsia"/>
              </w:rPr>
              <w:t>認：指受理學校就</w:t>
            </w:r>
            <w:proofErr w:type="gramStart"/>
            <w:r>
              <w:rPr>
                <w:rFonts w:ascii="標楷體" w:eastAsia="標楷體" w:cs="標楷體" w:hint="eastAsia"/>
              </w:rPr>
              <w:t>申請人所檢附</w:t>
            </w:r>
            <w:proofErr w:type="gramEnd"/>
            <w:r>
              <w:rPr>
                <w:rFonts w:ascii="標楷體" w:eastAsia="標楷體" w:cs="標楷體" w:hint="eastAsia"/>
              </w:rPr>
              <w:t>之國外學歷文件所為與國內同級同</w:t>
            </w:r>
          </w:p>
          <w:p w:rsidR="00AE7862" w:rsidRDefault="00AE7862" w:rsidP="00FC317D">
            <w:pPr>
              <w:pStyle w:val="TableParagraph"/>
              <w:kinsoku w:val="0"/>
              <w:overflowPunct w:val="0"/>
              <w:spacing w:before="11" w:line="275" w:lineRule="auto"/>
              <w:ind w:left="232" w:right="228" w:firstLine="480"/>
              <w:rPr>
                <w:rFonts w:ascii="標楷體" w:eastAsia="標楷體" w:cs="標楷體"/>
              </w:rPr>
            </w:pPr>
            <w:r>
              <w:rPr>
                <w:rFonts w:ascii="標楷體" w:eastAsia="標楷體" w:cs="標楷體" w:hint="eastAsia"/>
              </w:rPr>
              <w:t>類學校相當學歷之認定。</w:t>
            </w:r>
          </w:p>
          <w:p w:rsidR="00AE7862" w:rsidRDefault="00AE7862" w:rsidP="00FC317D">
            <w:pPr>
              <w:pStyle w:val="TableParagraph"/>
              <w:kinsoku w:val="0"/>
              <w:overflowPunct w:val="0"/>
              <w:spacing w:before="11" w:line="275" w:lineRule="auto"/>
              <w:ind w:left="232" w:right="228"/>
              <w:rPr>
                <w:rFonts w:ascii="標楷體" w:eastAsia="標楷體" w:cs="標楷體"/>
              </w:rPr>
            </w:pPr>
            <w:r>
              <w:rPr>
                <w:rFonts w:ascii="標楷體" w:eastAsia="標楷體" w:cs="標楷體" w:hint="eastAsia"/>
              </w:rPr>
              <w:t>二、參考名冊：指教育部（以下簡稱本部）就外國大專校院，收錄其名稱</w:t>
            </w:r>
          </w:p>
          <w:p w:rsidR="00AE7862" w:rsidRDefault="00AE7862" w:rsidP="00FC317D">
            <w:pPr>
              <w:pStyle w:val="TableParagraph"/>
              <w:kinsoku w:val="0"/>
              <w:overflowPunct w:val="0"/>
              <w:spacing w:before="11" w:line="275" w:lineRule="auto"/>
              <w:ind w:left="232" w:right="228" w:firstLine="480"/>
              <w:rPr>
                <w:rFonts w:ascii="標楷體" w:eastAsia="標楷體" w:cs="標楷體"/>
              </w:rPr>
            </w:pPr>
            <w:r>
              <w:rPr>
                <w:rFonts w:ascii="標楷體" w:eastAsia="標楷體" w:cs="標楷體" w:hint="eastAsia"/>
              </w:rPr>
              <w:t>、地址所彙集而成並經公告之名冊。</w:t>
            </w:r>
          </w:p>
          <w:p w:rsidR="00AE7862" w:rsidRDefault="00AE7862" w:rsidP="00FC317D">
            <w:pPr>
              <w:pStyle w:val="TableParagraph"/>
              <w:kinsoku w:val="0"/>
              <w:overflowPunct w:val="0"/>
              <w:spacing w:before="11" w:line="275" w:lineRule="auto"/>
              <w:ind w:left="232" w:right="228"/>
              <w:rPr>
                <w:rFonts w:ascii="標楷體" w:eastAsia="標楷體" w:cs="標楷體"/>
              </w:rPr>
            </w:pPr>
            <w:r>
              <w:rPr>
                <w:rFonts w:ascii="標楷體" w:eastAsia="標楷體" w:cs="標楷體" w:hint="eastAsia"/>
              </w:rPr>
              <w:t>三、驗證：指申請人持國外學校學位證書、成績證明等證件，向我國駐外</w:t>
            </w:r>
          </w:p>
          <w:p w:rsidR="00AE7862" w:rsidRDefault="00AE7862" w:rsidP="00FC317D">
            <w:pPr>
              <w:pStyle w:val="TableParagraph"/>
              <w:kinsoku w:val="0"/>
              <w:overflowPunct w:val="0"/>
              <w:spacing w:before="11" w:line="275" w:lineRule="auto"/>
              <w:ind w:left="712" w:right="228"/>
              <w:rPr>
                <w:rFonts w:ascii="標楷體" w:eastAsia="標楷體" w:cs="標楷體"/>
              </w:rPr>
            </w:pPr>
            <w:r>
              <w:rPr>
                <w:rFonts w:ascii="標楷體" w:eastAsia="標楷體" w:cs="標楷體" w:hint="eastAsia"/>
              </w:rPr>
              <w:t>使領館、代表處、辦事處或其他經外交部授權機構（以下簡稱駐外館處）申請證明文件為真。</w:t>
            </w:r>
          </w:p>
          <w:p w:rsidR="00AE7862" w:rsidRDefault="00AE7862" w:rsidP="00FC317D">
            <w:pPr>
              <w:pStyle w:val="TableParagraph"/>
              <w:kinsoku w:val="0"/>
              <w:overflowPunct w:val="0"/>
              <w:spacing w:before="11" w:line="275" w:lineRule="auto"/>
              <w:ind w:left="712" w:right="228" w:hanging="480"/>
            </w:pPr>
            <w:r>
              <w:rPr>
                <w:rFonts w:ascii="標楷體" w:eastAsia="標楷體" w:cs="標楷體" w:hint="eastAsia"/>
              </w:rPr>
              <w:t>四、查證：指學校查明證實當地國政府學校權責機關或其認定之教育專業評鑑團體對學校認可情形與其入學資格、修業期限及修習課程等事項。</w:t>
            </w:r>
          </w:p>
        </w:tc>
      </w:tr>
      <w:tr w:rsidR="00AE7862" w:rsidTr="00FC317D">
        <w:trPr>
          <w:trHeight w:hRule="exact" w:val="1500"/>
        </w:trPr>
        <w:tc>
          <w:tcPr>
            <w:tcW w:w="1303" w:type="dxa"/>
            <w:tcBorders>
              <w:top w:val="nil"/>
              <w:left w:val="nil"/>
              <w:bottom w:val="nil"/>
              <w:right w:val="nil"/>
            </w:tcBorders>
          </w:tcPr>
          <w:p w:rsidR="00AE7862" w:rsidRDefault="00AE7862" w:rsidP="00FC317D">
            <w:pPr>
              <w:pStyle w:val="TableParagraph"/>
              <w:kinsoku w:val="0"/>
              <w:overflowPunct w:val="0"/>
              <w:spacing w:before="16"/>
              <w:ind w:left="230"/>
            </w:pPr>
            <w:hyperlink r:id="rId9" w:history="1">
              <w:r>
                <w:rPr>
                  <w:rFonts w:ascii="標楷體" w:eastAsia="標楷體" w:cs="標楷體" w:hint="eastAsia"/>
                </w:rPr>
                <w:t>第</w:t>
              </w:r>
              <w:r>
                <w:rPr>
                  <w:rFonts w:eastAsia="標楷體"/>
                </w:rPr>
                <w:t>4</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國外學歷符合下列各款規定者，始得</w:t>
            </w:r>
            <w:proofErr w:type="gramStart"/>
            <w:r>
              <w:rPr>
                <w:rFonts w:ascii="標楷體" w:eastAsia="標楷體" w:cs="標楷體" w:hint="eastAsia"/>
              </w:rPr>
              <w:t>採</w:t>
            </w:r>
            <w:proofErr w:type="gramEnd"/>
            <w:r>
              <w:rPr>
                <w:rFonts w:ascii="標楷體" w:eastAsia="標楷體" w:cs="標楷體" w:hint="eastAsia"/>
              </w:rPr>
              <w:t>認：</w:t>
            </w:r>
          </w:p>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一、畢（</w:t>
            </w:r>
            <w:proofErr w:type="gramStart"/>
            <w:r>
              <w:rPr>
                <w:rFonts w:ascii="標楷體" w:eastAsia="標楷體" w:cs="標楷體" w:hint="eastAsia"/>
              </w:rPr>
              <w:t>肄</w:t>
            </w:r>
            <w:proofErr w:type="gramEnd"/>
            <w:r>
              <w:rPr>
                <w:rFonts w:ascii="標楷體" w:eastAsia="標楷體" w:cs="標楷體" w:hint="eastAsia"/>
              </w:rPr>
              <w:t>）業學校應為已列入參考名冊者；未列入參考名冊者，應為當</w:t>
            </w:r>
          </w:p>
          <w:p w:rsidR="00AE7862" w:rsidRDefault="00AE7862" w:rsidP="00FC317D">
            <w:pPr>
              <w:pStyle w:val="TableParagraph"/>
              <w:kinsoku w:val="0"/>
              <w:overflowPunct w:val="0"/>
              <w:spacing w:before="11" w:line="275" w:lineRule="auto"/>
              <w:ind w:left="232" w:right="948" w:firstLine="480"/>
            </w:pPr>
            <w:r>
              <w:rPr>
                <w:rFonts w:ascii="標楷體" w:eastAsia="標楷體" w:cs="標楷體" w:hint="eastAsia"/>
              </w:rPr>
              <w:t>地國政府學校權責機關或其認定之教育專業評鑑團體所認可。二、修業期限、修習課程，應與國內同級同類學校規定相當。</w:t>
            </w:r>
          </w:p>
        </w:tc>
      </w:tr>
      <w:tr w:rsidR="00AE7862" w:rsidTr="00FC317D">
        <w:trPr>
          <w:trHeight w:hRule="exact" w:val="3300"/>
        </w:trPr>
        <w:tc>
          <w:tcPr>
            <w:tcW w:w="1303" w:type="dxa"/>
            <w:tcBorders>
              <w:top w:val="nil"/>
              <w:left w:val="nil"/>
              <w:bottom w:val="nil"/>
              <w:right w:val="nil"/>
            </w:tcBorders>
          </w:tcPr>
          <w:p w:rsidR="00AE7862" w:rsidRDefault="00AE7862" w:rsidP="00FC317D">
            <w:pPr>
              <w:pStyle w:val="TableParagraph"/>
              <w:kinsoku w:val="0"/>
              <w:overflowPunct w:val="0"/>
              <w:spacing w:before="16"/>
              <w:ind w:left="230"/>
            </w:pPr>
            <w:hyperlink r:id="rId10" w:history="1">
              <w:r>
                <w:rPr>
                  <w:rFonts w:ascii="標楷體" w:eastAsia="標楷體" w:cs="標楷體" w:hint="eastAsia"/>
                </w:rPr>
                <w:t>第</w:t>
              </w:r>
              <w:r>
                <w:rPr>
                  <w:rFonts w:eastAsia="標楷體"/>
                </w:rPr>
                <w:t>5</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申請人申請國外學歷</w:t>
            </w:r>
            <w:proofErr w:type="gramStart"/>
            <w:r>
              <w:rPr>
                <w:rFonts w:ascii="標楷體" w:eastAsia="標楷體" w:cs="標楷體" w:hint="eastAsia"/>
              </w:rPr>
              <w:t>採</w:t>
            </w:r>
            <w:proofErr w:type="gramEnd"/>
            <w:r>
              <w:rPr>
                <w:rFonts w:ascii="標楷體" w:eastAsia="標楷體" w:cs="標楷體" w:hint="eastAsia"/>
              </w:rPr>
              <w:t>認，應自行檢具下列文件，送各校辦理：</w:t>
            </w:r>
          </w:p>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一、國外學歷證件及歷年成績證明影本一份。</w:t>
            </w:r>
          </w:p>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二、包括國外學歷修業</w:t>
            </w:r>
            <w:proofErr w:type="gramStart"/>
            <w:r>
              <w:rPr>
                <w:rFonts w:ascii="標楷體" w:eastAsia="標楷體" w:cs="標楷體" w:hint="eastAsia"/>
              </w:rPr>
              <w:t>起迄</w:t>
            </w:r>
            <w:proofErr w:type="gramEnd"/>
            <w:r>
              <w:rPr>
                <w:rFonts w:ascii="標楷體" w:eastAsia="標楷體" w:cs="標楷體" w:hint="eastAsia"/>
              </w:rPr>
              <w:t>期間之入出國主管機關核發之入出國紀錄一份</w:t>
            </w:r>
          </w:p>
          <w:p w:rsidR="00AE7862" w:rsidRDefault="00AE7862" w:rsidP="00FC317D">
            <w:pPr>
              <w:pStyle w:val="TableParagraph"/>
              <w:kinsoku w:val="0"/>
              <w:overflowPunct w:val="0"/>
              <w:spacing w:before="11" w:line="275" w:lineRule="auto"/>
              <w:ind w:left="232" w:right="228" w:firstLine="480"/>
              <w:rPr>
                <w:rFonts w:ascii="標楷體" w:eastAsia="標楷體" w:cs="標楷體"/>
              </w:rPr>
            </w:pPr>
            <w:r>
              <w:rPr>
                <w:rFonts w:ascii="標楷體" w:eastAsia="標楷體" w:cs="標楷體" w:hint="eastAsia"/>
              </w:rPr>
              <w:t>。但申請人係外國人或僑民者，免</w:t>
            </w:r>
            <w:proofErr w:type="gramStart"/>
            <w:r>
              <w:rPr>
                <w:rFonts w:ascii="標楷體" w:eastAsia="標楷體" w:cs="標楷體" w:hint="eastAsia"/>
              </w:rPr>
              <w:t>附</w:t>
            </w:r>
            <w:proofErr w:type="gramEnd"/>
            <w:r>
              <w:rPr>
                <w:rFonts w:ascii="標楷體" w:eastAsia="標楷體" w:cs="標楷體" w:hint="eastAsia"/>
              </w:rPr>
              <w:t>。</w:t>
            </w:r>
          </w:p>
          <w:p w:rsidR="00AE7862" w:rsidRDefault="00AE7862" w:rsidP="00FC317D">
            <w:pPr>
              <w:pStyle w:val="TableParagraph"/>
              <w:kinsoku w:val="0"/>
              <w:overflowPunct w:val="0"/>
              <w:spacing w:before="11" w:line="275" w:lineRule="auto"/>
              <w:ind w:left="232" w:right="228"/>
              <w:rPr>
                <w:rFonts w:ascii="標楷體" w:eastAsia="標楷體" w:cs="標楷體"/>
              </w:rPr>
            </w:pPr>
            <w:r>
              <w:rPr>
                <w:rFonts w:ascii="標楷體" w:eastAsia="標楷體" w:cs="標楷體" w:hint="eastAsia"/>
              </w:rPr>
              <w:t>三、其他學校規定之相關文件。</w:t>
            </w:r>
          </w:p>
          <w:p w:rsidR="00AE7862" w:rsidRDefault="00AE7862" w:rsidP="00FC317D">
            <w:pPr>
              <w:pStyle w:val="TableParagraph"/>
              <w:kinsoku w:val="0"/>
              <w:overflowPunct w:val="0"/>
              <w:spacing w:before="11" w:line="275" w:lineRule="auto"/>
              <w:ind w:left="232" w:right="228"/>
            </w:pPr>
            <w:r>
              <w:rPr>
                <w:rFonts w:ascii="標楷體" w:eastAsia="標楷體" w:cs="標楷體" w:hint="eastAsia"/>
              </w:rPr>
              <w:t>前項第一款文件，受理學校得</w:t>
            </w:r>
            <w:proofErr w:type="gramStart"/>
            <w:r>
              <w:rPr>
                <w:rFonts w:ascii="標楷體" w:eastAsia="標楷體" w:cs="標楷體" w:hint="eastAsia"/>
              </w:rPr>
              <w:t>逕</w:t>
            </w:r>
            <w:proofErr w:type="gramEnd"/>
            <w:r>
              <w:rPr>
                <w:rFonts w:ascii="標楷體" w:eastAsia="標楷體" w:cs="標楷體" w:hint="eastAsia"/>
              </w:rPr>
              <w:t>向申請人國外畢業學校查證、函請我國駐外館處協助查證，或請申請人辦理驗證。第六條第八項及第九項之申請人，得以經當地國政府學校權責機關或其認定之教育專業評鑑團體出具之證明文件代替第一項第二款資料。</w:t>
            </w:r>
          </w:p>
        </w:tc>
      </w:tr>
      <w:tr w:rsidR="00AE7862" w:rsidTr="00FC317D">
        <w:trPr>
          <w:trHeight w:hRule="exact" w:val="2190"/>
        </w:trPr>
        <w:tc>
          <w:tcPr>
            <w:tcW w:w="1303" w:type="dxa"/>
            <w:tcBorders>
              <w:top w:val="nil"/>
              <w:left w:val="nil"/>
              <w:bottom w:val="nil"/>
              <w:right w:val="nil"/>
            </w:tcBorders>
          </w:tcPr>
          <w:p w:rsidR="00AE7862" w:rsidRDefault="00AE7862" w:rsidP="00FC317D">
            <w:pPr>
              <w:pStyle w:val="TableParagraph"/>
              <w:kinsoku w:val="0"/>
              <w:overflowPunct w:val="0"/>
              <w:spacing w:before="16"/>
              <w:ind w:left="230"/>
            </w:pPr>
            <w:hyperlink r:id="rId11" w:history="1">
              <w:r>
                <w:rPr>
                  <w:rFonts w:ascii="標楷體" w:eastAsia="標楷體" w:cs="標楷體" w:hint="eastAsia"/>
                </w:rPr>
                <w:t>第</w:t>
              </w:r>
              <w:r>
                <w:rPr>
                  <w:rFonts w:eastAsia="標楷體"/>
                </w:rPr>
                <w:t>6</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第四條第二款所稱修業期限，指申請人停留於當地學校之修業時間，其規定如下：</w:t>
            </w:r>
          </w:p>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一、持高級中等學校學歷者，累計修業時間應符合當地國學制之規定。二、持學士學位者，累計修業時間至少須滿三十二</w:t>
            </w:r>
            <w:proofErr w:type="gramStart"/>
            <w:r>
              <w:rPr>
                <w:rFonts w:ascii="標楷體" w:eastAsia="標楷體" w:cs="標楷體" w:hint="eastAsia"/>
              </w:rPr>
              <w:t>個</w:t>
            </w:r>
            <w:proofErr w:type="gramEnd"/>
            <w:r>
              <w:rPr>
                <w:rFonts w:ascii="標楷體" w:eastAsia="標楷體" w:cs="標楷體" w:hint="eastAsia"/>
              </w:rPr>
              <w:t>月。</w:t>
            </w:r>
          </w:p>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三、持碩士學位者，累計修業時間至少須滿八個月。</w:t>
            </w:r>
          </w:p>
          <w:p w:rsidR="00AE7862" w:rsidRDefault="00AE7862" w:rsidP="00FC317D">
            <w:pPr>
              <w:pStyle w:val="TableParagraph"/>
              <w:kinsoku w:val="0"/>
              <w:overflowPunct w:val="0"/>
              <w:spacing w:before="16" w:line="275" w:lineRule="auto"/>
              <w:ind w:left="232" w:right="228"/>
            </w:pPr>
            <w:r>
              <w:rPr>
                <w:rFonts w:ascii="標楷體" w:eastAsia="標楷體" w:cs="標楷體" w:hint="eastAsia"/>
              </w:rPr>
              <w:t>四、持博士學位者，累計修業時間至少須滿十六</w:t>
            </w:r>
            <w:proofErr w:type="gramStart"/>
            <w:r>
              <w:rPr>
                <w:rFonts w:ascii="標楷體" w:eastAsia="標楷體" w:cs="標楷體" w:hint="eastAsia"/>
              </w:rPr>
              <w:t>個</w:t>
            </w:r>
            <w:proofErr w:type="gramEnd"/>
            <w:r>
              <w:rPr>
                <w:rFonts w:ascii="標楷體" w:eastAsia="標楷體" w:cs="標楷體" w:hint="eastAsia"/>
              </w:rPr>
              <w:t>月。</w:t>
            </w:r>
          </w:p>
        </w:tc>
      </w:tr>
    </w:tbl>
    <w:p w:rsidR="00AE7862" w:rsidRDefault="00AE7862" w:rsidP="00AE7862">
      <w:pPr>
        <w:sectPr w:rsidR="00AE7862">
          <w:pgSz w:w="11910" w:h="16840"/>
          <w:pgMar w:top="840" w:right="1060" w:bottom="640" w:left="880" w:header="0" w:footer="442" w:gutter="0"/>
          <w:cols w:space="720" w:equalWidth="0">
            <w:col w:w="9970"/>
          </w:cols>
          <w:noEndnote/>
        </w:sectPr>
      </w:pPr>
    </w:p>
    <w:p w:rsidR="00AE7862" w:rsidRPr="00AE7862" w:rsidRDefault="00AE7862" w:rsidP="00AE7862">
      <w:pPr>
        <w:pStyle w:val="a3"/>
        <w:kinsoku w:val="0"/>
        <w:overflowPunct w:val="0"/>
        <w:spacing w:before="1"/>
        <w:ind w:left="0"/>
        <w:rPr>
          <w:rFonts w:ascii="Times New Roman" w:eastAsia="新細明體" w:cs="Times New Roman"/>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1303"/>
        <w:gridCol w:w="8143"/>
      </w:tblGrid>
      <w:tr w:rsidR="00AE7862" w:rsidTr="00FC317D">
        <w:trPr>
          <w:trHeight w:hRule="exact" w:val="10830"/>
        </w:trPr>
        <w:tc>
          <w:tcPr>
            <w:tcW w:w="9446" w:type="dxa"/>
            <w:gridSpan w:val="2"/>
            <w:tcBorders>
              <w:top w:val="nil"/>
              <w:left w:val="nil"/>
              <w:bottom w:val="nil"/>
              <w:right w:val="nil"/>
            </w:tcBorders>
          </w:tcPr>
          <w:p w:rsidR="00AE7862" w:rsidRDefault="00AE7862" w:rsidP="00FC317D">
            <w:pPr>
              <w:pStyle w:val="TableParagraph"/>
              <w:kinsoku w:val="0"/>
              <w:overflowPunct w:val="0"/>
              <w:spacing w:line="275" w:lineRule="auto"/>
              <w:ind w:left="2015" w:right="228" w:hanging="480"/>
              <w:rPr>
                <w:rFonts w:ascii="標楷體" w:eastAsia="標楷體" w:cs="標楷體"/>
              </w:rPr>
            </w:pPr>
            <w:r>
              <w:rPr>
                <w:rFonts w:ascii="標楷體" w:eastAsia="標楷體" w:cs="標楷體" w:hint="eastAsia"/>
              </w:rPr>
              <w:t>五、碩士、博士學位同時於同校系（所）修習者，累計修業時間至少須滿二十四</w:t>
            </w:r>
            <w:proofErr w:type="gramStart"/>
            <w:r>
              <w:rPr>
                <w:rFonts w:ascii="標楷體" w:eastAsia="標楷體" w:cs="標楷體" w:hint="eastAsia"/>
              </w:rPr>
              <w:t>個</w:t>
            </w:r>
            <w:proofErr w:type="gramEnd"/>
            <w:r>
              <w:rPr>
                <w:rFonts w:ascii="標楷體" w:eastAsia="標楷體" w:cs="標楷體" w:hint="eastAsia"/>
              </w:rPr>
              <w:t>月。</w:t>
            </w:r>
          </w:p>
          <w:p w:rsidR="00AE7862" w:rsidRDefault="00AE7862" w:rsidP="00FC317D">
            <w:pPr>
              <w:pStyle w:val="TableParagraph"/>
              <w:kinsoku w:val="0"/>
              <w:overflowPunct w:val="0"/>
              <w:spacing w:before="11" w:line="275" w:lineRule="auto"/>
              <w:ind w:left="2015" w:right="228" w:hanging="480"/>
              <w:rPr>
                <w:rFonts w:ascii="標楷體" w:eastAsia="標楷體" w:cs="標楷體"/>
              </w:rPr>
            </w:pPr>
            <w:r>
              <w:rPr>
                <w:rFonts w:ascii="標楷體" w:eastAsia="標楷體" w:cs="標楷體" w:hint="eastAsia"/>
              </w:rPr>
              <w:t>六、以專科學校畢業學歷或具專科學校畢業同等學力進修學士學位者，累計修業時間至少須滿十六</w:t>
            </w:r>
            <w:proofErr w:type="gramStart"/>
            <w:r>
              <w:rPr>
                <w:rFonts w:ascii="標楷體" w:eastAsia="標楷體" w:cs="標楷體" w:hint="eastAsia"/>
              </w:rPr>
              <w:t>個</w:t>
            </w:r>
            <w:proofErr w:type="gramEnd"/>
            <w:r>
              <w:rPr>
                <w:rFonts w:ascii="標楷體" w:eastAsia="標楷體" w:cs="標楷體" w:hint="eastAsia"/>
              </w:rPr>
              <w:t>月。</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前項修業期限，各校應對照國內外學制情形，以申請人所持國外學歷當地國學制、修業期間學校行事曆及入出國紀錄等綜合判斷，其所停留期間非屬學校正規學制及行事曆所示修課時間者，不予</w:t>
            </w:r>
            <w:proofErr w:type="gramStart"/>
            <w:r>
              <w:rPr>
                <w:rFonts w:ascii="標楷體" w:eastAsia="標楷體" w:cs="標楷體" w:hint="eastAsia"/>
              </w:rPr>
              <w:t>採</w:t>
            </w:r>
            <w:proofErr w:type="gramEnd"/>
            <w:r>
              <w:rPr>
                <w:rFonts w:ascii="標楷體" w:eastAsia="標楷體" w:cs="標楷體" w:hint="eastAsia"/>
              </w:rPr>
              <w:t>計。</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修讀學士學位表現優異者，其修業期限，得由</w:t>
            </w:r>
            <w:proofErr w:type="gramStart"/>
            <w:r>
              <w:rPr>
                <w:rFonts w:ascii="標楷體" w:eastAsia="標楷體" w:cs="標楷體" w:hint="eastAsia"/>
              </w:rPr>
              <w:t>各校衡酌</w:t>
            </w:r>
            <w:proofErr w:type="gramEnd"/>
            <w:r>
              <w:rPr>
                <w:rFonts w:ascii="標楷體" w:eastAsia="標楷體" w:cs="標楷體" w:hint="eastAsia"/>
              </w:rPr>
              <w:t>各該國外大學學制規定及實際情況，予以酌減。</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符合特殊教育法所稱身心障礙者，其修業期限，得由</w:t>
            </w:r>
            <w:proofErr w:type="gramStart"/>
            <w:r>
              <w:rPr>
                <w:rFonts w:ascii="標楷體" w:eastAsia="標楷體" w:cs="標楷體" w:hint="eastAsia"/>
              </w:rPr>
              <w:t>各校衡酌</w:t>
            </w:r>
            <w:proofErr w:type="gramEnd"/>
            <w:r>
              <w:rPr>
                <w:rFonts w:ascii="標楷體" w:eastAsia="標楷體" w:cs="標楷體" w:hint="eastAsia"/>
              </w:rPr>
              <w:t>各該國外大學學制、身心障礙程度及其他實際情況，予以酌減。</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經由國際學術合作模式，同時在國內外大學修讀同級學位者，不得全程於國內大學修業；其修業期限，得累計其停留於各當地大學之修業時間，並應符合下列規定，不適用第一項規定：</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一、持學士學位者，累計修業時間至少須滿三十二</w:t>
            </w:r>
            <w:proofErr w:type="gramStart"/>
            <w:r>
              <w:rPr>
                <w:rFonts w:ascii="標楷體" w:eastAsia="標楷體" w:cs="標楷體" w:hint="eastAsia"/>
              </w:rPr>
              <w:t>個</w:t>
            </w:r>
            <w:proofErr w:type="gramEnd"/>
            <w:r>
              <w:rPr>
                <w:rFonts w:ascii="標楷體" w:eastAsia="標楷體" w:cs="標楷體" w:hint="eastAsia"/>
              </w:rPr>
              <w:t>月。</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二、持碩士學位者，累計修業時間至少須滿十二</w:t>
            </w:r>
            <w:proofErr w:type="gramStart"/>
            <w:r>
              <w:rPr>
                <w:rFonts w:ascii="標楷體" w:eastAsia="標楷體" w:cs="標楷體" w:hint="eastAsia"/>
              </w:rPr>
              <w:t>個</w:t>
            </w:r>
            <w:proofErr w:type="gramEnd"/>
            <w:r>
              <w:rPr>
                <w:rFonts w:ascii="標楷體" w:eastAsia="標楷體" w:cs="標楷體" w:hint="eastAsia"/>
              </w:rPr>
              <w:t>月。</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三、持博士學位者，累計修業時間至少須滿二十四</w:t>
            </w:r>
            <w:proofErr w:type="gramStart"/>
            <w:r>
              <w:rPr>
                <w:rFonts w:ascii="標楷體" w:eastAsia="標楷體" w:cs="標楷體" w:hint="eastAsia"/>
              </w:rPr>
              <w:t>個</w:t>
            </w:r>
            <w:proofErr w:type="gramEnd"/>
            <w:r>
              <w:rPr>
                <w:rFonts w:ascii="標楷體" w:eastAsia="標楷體" w:cs="標楷體" w:hint="eastAsia"/>
              </w:rPr>
              <w:t>月。</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前項申請人於國內外大學修習之學分數，累計應各達獲頒學位所需總學分數之三分之一以上。</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申請人修業時間達第一項或第五項所定修業期限三分之二以上，其修業期限得由學校就申請人所持國外學歷當地國學制、修業期間學校行事曆、入出國紀錄及國內同級同類學校學制等綜合判斷是否符合大學入學同等學力後予以</w:t>
            </w:r>
            <w:proofErr w:type="gramStart"/>
            <w:r>
              <w:rPr>
                <w:rFonts w:ascii="標楷體" w:eastAsia="標楷體" w:cs="標楷體" w:hint="eastAsia"/>
              </w:rPr>
              <w:t>採</w:t>
            </w:r>
            <w:proofErr w:type="gramEnd"/>
            <w:r>
              <w:rPr>
                <w:rFonts w:ascii="標楷體" w:eastAsia="標楷體" w:cs="標楷體" w:hint="eastAsia"/>
              </w:rPr>
              <w:t>認。</w:t>
            </w:r>
          </w:p>
          <w:p w:rsidR="00AE7862" w:rsidRDefault="00AE7862" w:rsidP="00FC317D">
            <w:pPr>
              <w:pStyle w:val="TableParagraph"/>
              <w:kinsoku w:val="0"/>
              <w:overflowPunct w:val="0"/>
              <w:spacing w:before="11" w:line="275" w:lineRule="auto"/>
              <w:ind w:left="1535" w:right="228"/>
              <w:rPr>
                <w:rFonts w:ascii="標楷體" w:eastAsia="標楷體" w:cs="標楷體"/>
              </w:rPr>
            </w:pPr>
            <w:r>
              <w:rPr>
                <w:rFonts w:ascii="標楷體" w:eastAsia="標楷體" w:cs="標楷體" w:hint="eastAsia"/>
              </w:rPr>
              <w:t>申請人入學所持國外學歷依國外學校規定須跨國（不包括我國）修習者，由申請人出具國外學校證明文件並經學校查證認定後，其跨國之修業期限得</w:t>
            </w:r>
            <w:proofErr w:type="gramStart"/>
            <w:r>
              <w:rPr>
                <w:rFonts w:ascii="標楷體" w:eastAsia="標楷體" w:cs="標楷體" w:hint="eastAsia"/>
              </w:rPr>
              <w:t>併</w:t>
            </w:r>
            <w:proofErr w:type="gramEnd"/>
            <w:r>
              <w:rPr>
                <w:rFonts w:ascii="標楷體" w:eastAsia="標楷體" w:cs="標楷體" w:hint="eastAsia"/>
              </w:rPr>
              <w:t>計為第一項所定之當地修業期限，且該跨國修習學校應符合第四條、大陸地區學歷採認辦法或香港澳門學歷檢覈及採認辦法之規定。</w:t>
            </w:r>
          </w:p>
          <w:p w:rsidR="00AE7862" w:rsidRDefault="00AE7862" w:rsidP="00FC317D">
            <w:pPr>
              <w:pStyle w:val="TableParagraph"/>
              <w:kinsoku w:val="0"/>
              <w:overflowPunct w:val="0"/>
              <w:spacing w:before="11" w:line="275" w:lineRule="auto"/>
              <w:ind w:left="1535" w:right="228"/>
            </w:pPr>
            <w:r>
              <w:rPr>
                <w:rFonts w:ascii="標楷體" w:eastAsia="標楷體" w:cs="標楷體" w:hint="eastAsia"/>
              </w:rPr>
              <w:t>申請人持國內大學與國外大學合作設立經本部專案核定之學位專班學歷入學者，其停留國內大學之修業期限得</w:t>
            </w:r>
            <w:proofErr w:type="gramStart"/>
            <w:r>
              <w:rPr>
                <w:rFonts w:ascii="標楷體" w:eastAsia="標楷體" w:cs="標楷體" w:hint="eastAsia"/>
              </w:rPr>
              <w:t>併</w:t>
            </w:r>
            <w:proofErr w:type="gramEnd"/>
            <w:r>
              <w:rPr>
                <w:rFonts w:ascii="標楷體" w:eastAsia="標楷體" w:cs="標楷體" w:hint="eastAsia"/>
              </w:rPr>
              <w:t>計為第一項及第五項所定之修業期限。</w:t>
            </w:r>
          </w:p>
        </w:tc>
      </w:tr>
      <w:tr w:rsidR="00AE7862" w:rsidTr="00FC317D">
        <w:trPr>
          <w:trHeight w:hRule="exact" w:val="1140"/>
        </w:trPr>
        <w:tc>
          <w:tcPr>
            <w:tcW w:w="1303" w:type="dxa"/>
            <w:tcBorders>
              <w:top w:val="nil"/>
              <w:left w:val="nil"/>
              <w:bottom w:val="nil"/>
              <w:right w:val="nil"/>
            </w:tcBorders>
          </w:tcPr>
          <w:p w:rsidR="00AE7862" w:rsidRDefault="00AE7862" w:rsidP="00FC317D">
            <w:pPr>
              <w:pStyle w:val="TableParagraph"/>
              <w:kinsoku w:val="0"/>
              <w:overflowPunct w:val="0"/>
              <w:spacing w:before="16"/>
              <w:ind w:left="230"/>
            </w:pPr>
            <w:hyperlink r:id="rId12" w:history="1">
              <w:r>
                <w:rPr>
                  <w:rFonts w:ascii="標楷體" w:eastAsia="標楷體" w:cs="標楷體" w:hint="eastAsia"/>
                </w:rPr>
                <w:t>第</w:t>
              </w:r>
              <w:r>
                <w:rPr>
                  <w:rFonts w:eastAsia="標楷體"/>
                </w:rPr>
                <w:t>7</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before="16" w:line="275" w:lineRule="auto"/>
              <w:ind w:left="232" w:right="228"/>
            </w:pPr>
            <w:r>
              <w:rPr>
                <w:rFonts w:ascii="標楷體" w:eastAsia="標楷體" w:cs="標楷體" w:hint="eastAsia"/>
              </w:rPr>
              <w:t>第四條第二款所定修習課程，如以遠距教學方式修習，取得國外學校學歷者，應在符合第四條第一款規定之學校修習科目學分，或經由國際學術合作在國內大學修習學分，其學分數並符合國內遠距教學之規定。</w:t>
            </w:r>
          </w:p>
        </w:tc>
      </w:tr>
      <w:tr w:rsidR="00AE7862" w:rsidTr="00FC317D">
        <w:trPr>
          <w:trHeight w:hRule="exact" w:val="2190"/>
        </w:trPr>
        <w:tc>
          <w:tcPr>
            <w:tcW w:w="1303" w:type="dxa"/>
            <w:tcBorders>
              <w:top w:val="nil"/>
              <w:left w:val="nil"/>
              <w:bottom w:val="nil"/>
              <w:right w:val="nil"/>
            </w:tcBorders>
          </w:tcPr>
          <w:p w:rsidR="00AE7862" w:rsidRDefault="00AE7862" w:rsidP="00FC317D">
            <w:pPr>
              <w:pStyle w:val="TableParagraph"/>
              <w:kinsoku w:val="0"/>
              <w:overflowPunct w:val="0"/>
              <w:spacing w:before="16"/>
              <w:ind w:left="230"/>
            </w:pPr>
            <w:hyperlink r:id="rId13" w:history="1">
              <w:r>
                <w:rPr>
                  <w:rFonts w:ascii="標楷體" w:eastAsia="標楷體" w:cs="標楷體" w:hint="eastAsia"/>
                </w:rPr>
                <w:t>第</w:t>
              </w:r>
              <w:r>
                <w:rPr>
                  <w:rFonts w:eastAsia="標楷體"/>
                </w:rPr>
                <w:t>8</w:t>
              </w:r>
              <w:r>
                <w:rPr>
                  <w:rFonts w:ascii="標楷體" w:eastAsia="標楷體" w:cs="標楷體" w:hint="eastAsia"/>
                </w:rPr>
                <w:t>條</w:t>
              </w:r>
            </w:hyperlink>
          </w:p>
        </w:tc>
        <w:tc>
          <w:tcPr>
            <w:tcW w:w="8143" w:type="dxa"/>
            <w:tcBorders>
              <w:top w:val="nil"/>
              <w:left w:val="nil"/>
              <w:bottom w:val="nil"/>
              <w:right w:val="nil"/>
            </w:tcBorders>
          </w:tcPr>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各校辦理國外學歷</w:t>
            </w:r>
            <w:proofErr w:type="gramStart"/>
            <w:r>
              <w:rPr>
                <w:rFonts w:ascii="標楷體" w:eastAsia="標楷體" w:cs="標楷體" w:hint="eastAsia"/>
              </w:rPr>
              <w:t>採</w:t>
            </w:r>
            <w:proofErr w:type="gramEnd"/>
            <w:r>
              <w:rPr>
                <w:rFonts w:ascii="標楷體" w:eastAsia="標楷體" w:cs="標楷體" w:hint="eastAsia"/>
              </w:rPr>
              <w:t>認，除藝術類文憑，應依本辦法規定辦理查證後</w:t>
            </w:r>
            <w:proofErr w:type="gramStart"/>
            <w:r>
              <w:rPr>
                <w:rFonts w:ascii="標楷體" w:eastAsia="標楷體" w:cs="標楷體" w:hint="eastAsia"/>
              </w:rPr>
              <w:t>採認</w:t>
            </w:r>
            <w:proofErr w:type="gramEnd"/>
            <w:r>
              <w:rPr>
                <w:rFonts w:ascii="標楷體" w:eastAsia="標楷體" w:cs="標楷體" w:hint="eastAsia"/>
              </w:rPr>
              <w:t>外，應依下列程序為之：</w:t>
            </w:r>
          </w:p>
          <w:p w:rsidR="00AE7862" w:rsidRDefault="00AE7862" w:rsidP="00FC317D">
            <w:pPr>
              <w:pStyle w:val="TableParagraph"/>
              <w:kinsoku w:val="0"/>
              <w:overflowPunct w:val="0"/>
              <w:spacing w:before="16" w:line="275" w:lineRule="auto"/>
              <w:ind w:leftChars="100" w:left="720" w:right="228" w:hangingChars="200" w:hanging="480"/>
              <w:rPr>
                <w:rFonts w:ascii="標楷體" w:eastAsia="標楷體" w:cs="標楷體"/>
              </w:rPr>
            </w:pPr>
            <w:r>
              <w:rPr>
                <w:rFonts w:ascii="標楷體" w:eastAsia="標楷體" w:cs="標楷體" w:hint="eastAsia"/>
              </w:rPr>
              <w:t>一、國外高級中等學校學歷或已列入參考名冊之國外學校學歷，由各校依本辦法規定</w:t>
            </w:r>
            <w:proofErr w:type="gramStart"/>
            <w:r>
              <w:rPr>
                <w:rFonts w:ascii="標楷體" w:eastAsia="標楷體" w:cs="標楷體" w:hint="eastAsia"/>
              </w:rPr>
              <w:t>採</w:t>
            </w:r>
            <w:proofErr w:type="gramEnd"/>
            <w:r>
              <w:rPr>
                <w:rFonts w:ascii="標楷體" w:eastAsia="標楷體" w:cs="標楷體" w:hint="eastAsia"/>
              </w:rPr>
              <w:t>認。</w:t>
            </w:r>
          </w:p>
          <w:p w:rsidR="00AE7862" w:rsidRDefault="00AE7862" w:rsidP="00FC317D">
            <w:pPr>
              <w:pStyle w:val="TableParagraph"/>
              <w:kinsoku w:val="0"/>
              <w:overflowPunct w:val="0"/>
              <w:spacing w:before="16" w:line="275" w:lineRule="auto"/>
              <w:ind w:left="232" w:right="228"/>
              <w:rPr>
                <w:rFonts w:ascii="標楷體" w:eastAsia="標楷體" w:cs="標楷體"/>
              </w:rPr>
            </w:pPr>
            <w:r>
              <w:rPr>
                <w:rFonts w:ascii="標楷體" w:eastAsia="標楷體" w:cs="標楷體" w:hint="eastAsia"/>
              </w:rPr>
              <w:t>二、未列入參考名冊之國外學校學歷，各校應依本辦法規定辦理查證後</w:t>
            </w:r>
            <w:proofErr w:type="gramStart"/>
            <w:r>
              <w:rPr>
                <w:rFonts w:ascii="標楷體" w:eastAsia="標楷體" w:cs="標楷體" w:hint="eastAsia"/>
              </w:rPr>
              <w:t>採</w:t>
            </w:r>
            <w:proofErr w:type="gramEnd"/>
          </w:p>
          <w:p w:rsidR="00AE7862" w:rsidRDefault="00AE7862" w:rsidP="00FC317D">
            <w:pPr>
              <w:pStyle w:val="TableParagraph"/>
              <w:kinsoku w:val="0"/>
              <w:overflowPunct w:val="0"/>
              <w:spacing w:before="11"/>
              <w:ind w:left="712"/>
            </w:pPr>
            <w:r>
              <w:rPr>
                <w:rFonts w:ascii="標楷體" w:eastAsia="標楷體" w:cs="標楷體" w:hint="eastAsia"/>
              </w:rPr>
              <w:t>認。</w:t>
            </w:r>
          </w:p>
        </w:tc>
      </w:tr>
    </w:tbl>
    <w:p w:rsidR="00AE7862" w:rsidRDefault="00AE7862" w:rsidP="00AE7862">
      <w:pPr>
        <w:sectPr w:rsidR="00AE7862">
          <w:pgSz w:w="11910" w:h="16840"/>
          <w:pgMar w:top="840" w:right="1360" w:bottom="640" w:left="880" w:header="0" w:footer="442" w:gutter="0"/>
          <w:cols w:space="720" w:equalWidth="0">
            <w:col w:w="9670"/>
          </w:cols>
          <w:noEndnote/>
        </w:sectPr>
      </w:pPr>
    </w:p>
    <w:p w:rsidR="00AE7862" w:rsidRPr="00AE7862" w:rsidRDefault="00AE7862" w:rsidP="00AE7862">
      <w:pPr>
        <w:pStyle w:val="a3"/>
        <w:kinsoku w:val="0"/>
        <w:overflowPunct w:val="0"/>
        <w:spacing w:before="1"/>
        <w:ind w:left="0"/>
        <w:rPr>
          <w:rFonts w:ascii="Times New Roman" w:eastAsia="新細明體" w:cs="Times New Roman"/>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1393"/>
        <w:gridCol w:w="8113"/>
      </w:tblGrid>
      <w:tr w:rsidR="00AE7862" w:rsidTr="00FC317D">
        <w:trPr>
          <w:trHeight w:hRule="exact" w:val="1470"/>
        </w:trPr>
        <w:tc>
          <w:tcPr>
            <w:tcW w:w="9506" w:type="dxa"/>
            <w:gridSpan w:val="2"/>
            <w:tcBorders>
              <w:top w:val="nil"/>
              <w:left w:val="nil"/>
              <w:bottom w:val="nil"/>
              <w:right w:val="nil"/>
            </w:tcBorders>
          </w:tcPr>
          <w:p w:rsidR="00AE7862" w:rsidRDefault="00AE7862" w:rsidP="00FC317D">
            <w:pPr>
              <w:pStyle w:val="TableParagraph"/>
              <w:kinsoku w:val="0"/>
              <w:overflowPunct w:val="0"/>
              <w:spacing w:line="275" w:lineRule="auto"/>
              <w:ind w:left="1595" w:right="228"/>
              <w:rPr>
                <w:rFonts w:ascii="標楷體" w:eastAsia="標楷體" w:cs="標楷體"/>
              </w:rPr>
            </w:pPr>
            <w:r>
              <w:rPr>
                <w:rFonts w:ascii="標楷體" w:eastAsia="標楷體" w:cs="標楷體" w:hint="eastAsia"/>
              </w:rPr>
              <w:t>前項</w:t>
            </w:r>
            <w:proofErr w:type="gramStart"/>
            <w:r>
              <w:rPr>
                <w:rFonts w:ascii="標楷體" w:eastAsia="標楷體" w:cs="標楷體" w:hint="eastAsia"/>
              </w:rPr>
              <w:t>採</w:t>
            </w:r>
            <w:proofErr w:type="gramEnd"/>
            <w:r>
              <w:rPr>
                <w:rFonts w:ascii="標楷體" w:eastAsia="標楷體" w:cs="標楷體" w:hint="eastAsia"/>
              </w:rPr>
              <w:t>認如有疑義時，學校應組成學歷採認審議小組進行採認；該小組之組織及運作規定，由學校定之。</w:t>
            </w:r>
          </w:p>
          <w:p w:rsidR="00AE7862" w:rsidRDefault="00AE7862" w:rsidP="00FC317D">
            <w:pPr>
              <w:pStyle w:val="TableParagraph"/>
              <w:kinsoku w:val="0"/>
              <w:overflowPunct w:val="0"/>
              <w:spacing w:line="275" w:lineRule="auto"/>
              <w:ind w:left="1595" w:right="228"/>
            </w:pPr>
            <w:r>
              <w:rPr>
                <w:rFonts w:ascii="標楷體" w:eastAsia="標楷體" w:cs="標楷體" w:hint="eastAsia"/>
              </w:rPr>
              <w:t>經前項學校審議小組審議後仍無法逕行</w:t>
            </w:r>
            <w:proofErr w:type="gramStart"/>
            <w:r>
              <w:rPr>
                <w:rFonts w:ascii="標楷體" w:eastAsia="標楷體" w:cs="標楷體" w:hint="eastAsia"/>
              </w:rPr>
              <w:t>採認者</w:t>
            </w:r>
            <w:proofErr w:type="gramEnd"/>
            <w:r>
              <w:rPr>
                <w:rFonts w:ascii="標楷體" w:eastAsia="標楷體" w:cs="標楷體" w:hint="eastAsia"/>
              </w:rPr>
              <w:t>，</w:t>
            </w:r>
            <w:proofErr w:type="gramStart"/>
            <w:r>
              <w:rPr>
                <w:rFonts w:ascii="標楷體" w:eastAsia="標楷體" w:cs="標楷體" w:hint="eastAsia"/>
              </w:rPr>
              <w:t>學校得敘</w:t>
            </w:r>
            <w:proofErr w:type="gramEnd"/>
            <w:r>
              <w:rPr>
                <w:rFonts w:ascii="標楷體" w:eastAsia="標楷體" w:cs="標楷體" w:hint="eastAsia"/>
              </w:rPr>
              <w:t>明疑義，並檢附相關證明文件送本部協助。</w:t>
            </w:r>
          </w:p>
        </w:tc>
      </w:tr>
      <w:tr w:rsidR="00AE7862" w:rsidTr="00FC317D">
        <w:trPr>
          <w:trHeight w:hRule="exact" w:val="3300"/>
        </w:trPr>
        <w:tc>
          <w:tcPr>
            <w:tcW w:w="1393" w:type="dxa"/>
            <w:tcBorders>
              <w:top w:val="nil"/>
              <w:left w:val="nil"/>
              <w:bottom w:val="nil"/>
              <w:right w:val="nil"/>
            </w:tcBorders>
          </w:tcPr>
          <w:p w:rsidR="00AE7862" w:rsidRDefault="00AE7862" w:rsidP="00FC317D">
            <w:pPr>
              <w:pStyle w:val="TableParagraph"/>
              <w:kinsoku w:val="0"/>
              <w:overflowPunct w:val="0"/>
              <w:spacing w:before="16"/>
              <w:ind w:left="290"/>
            </w:pPr>
            <w:hyperlink r:id="rId14" w:history="1">
              <w:r>
                <w:rPr>
                  <w:rFonts w:ascii="標楷體" w:eastAsia="標楷體" w:cs="標楷體" w:hint="eastAsia"/>
                </w:rPr>
                <w:t>第</w:t>
              </w:r>
              <w:r>
                <w:rPr>
                  <w:rFonts w:eastAsia="標楷體"/>
                </w:rPr>
                <w:t>9</w:t>
              </w:r>
              <w:r>
                <w:rPr>
                  <w:rFonts w:ascii="標楷體" w:eastAsia="標楷體" w:cs="標楷體" w:hint="eastAsia"/>
                </w:rPr>
                <w:t>條</w:t>
              </w:r>
            </w:hyperlink>
          </w:p>
        </w:tc>
        <w:tc>
          <w:tcPr>
            <w:tcW w:w="8113" w:type="dxa"/>
            <w:tcBorders>
              <w:top w:val="nil"/>
              <w:left w:val="nil"/>
              <w:bottom w:val="nil"/>
              <w:right w:val="nil"/>
            </w:tcBorders>
          </w:tcPr>
          <w:p w:rsidR="00AE7862" w:rsidRDefault="00AE7862" w:rsidP="00FC317D">
            <w:pPr>
              <w:pStyle w:val="TableParagraph"/>
              <w:kinsoku w:val="0"/>
              <w:overflowPunct w:val="0"/>
              <w:spacing w:before="16" w:line="275" w:lineRule="auto"/>
              <w:ind w:left="202" w:right="228"/>
              <w:jc w:val="both"/>
              <w:rPr>
                <w:rFonts w:ascii="標楷體" w:eastAsia="標楷體" w:cs="標楷體"/>
              </w:rPr>
            </w:pPr>
            <w:r>
              <w:rPr>
                <w:rFonts w:ascii="標楷體" w:eastAsia="標楷體" w:cs="標楷體" w:hint="eastAsia"/>
              </w:rPr>
              <w:t>各校辦理國外學歷查證，應由申請人出具授權查證之同意書及相關文件。各校向申請人國外畢業學校查證，或函請駐外館處協助查證申請人所持國外學歷之項目如下：</w:t>
            </w:r>
          </w:p>
          <w:p w:rsidR="00AE7862" w:rsidRDefault="00AE7862" w:rsidP="00FC317D">
            <w:pPr>
              <w:pStyle w:val="TableParagraph"/>
              <w:kinsoku w:val="0"/>
              <w:overflowPunct w:val="0"/>
              <w:spacing w:before="11" w:line="275" w:lineRule="auto"/>
              <w:ind w:left="202" w:right="6228"/>
              <w:jc w:val="both"/>
              <w:rPr>
                <w:rFonts w:ascii="標楷體" w:eastAsia="標楷體" w:cs="標楷體"/>
              </w:rPr>
            </w:pPr>
            <w:r>
              <w:rPr>
                <w:rFonts w:ascii="標楷體" w:eastAsia="標楷體" w:cs="標楷體" w:hint="eastAsia"/>
              </w:rPr>
              <w:t>一、入學資格。二、修業期限。三、修習課程。</w:t>
            </w:r>
          </w:p>
          <w:p w:rsidR="00AE7862" w:rsidRDefault="00AE7862" w:rsidP="00FC317D">
            <w:pPr>
              <w:pStyle w:val="TableParagraph"/>
              <w:kinsoku w:val="0"/>
              <w:overflowPunct w:val="0"/>
              <w:spacing w:before="11" w:line="275" w:lineRule="auto"/>
              <w:ind w:left="682" w:right="228" w:hanging="480"/>
              <w:rPr>
                <w:rFonts w:ascii="標楷體" w:eastAsia="標楷體" w:cs="標楷體"/>
              </w:rPr>
            </w:pPr>
            <w:r>
              <w:rPr>
                <w:rFonts w:ascii="標楷體" w:eastAsia="標楷體" w:cs="標楷體" w:hint="eastAsia"/>
              </w:rPr>
              <w:t>四、當地國政府學校權責機關或其認定之教育專業評鑑團體對學校認可情形。</w:t>
            </w:r>
          </w:p>
          <w:p w:rsidR="00AE7862" w:rsidRDefault="00AE7862" w:rsidP="00FC317D">
            <w:pPr>
              <w:pStyle w:val="TableParagraph"/>
              <w:kinsoku w:val="0"/>
              <w:overflowPunct w:val="0"/>
              <w:spacing w:before="11"/>
              <w:ind w:left="202"/>
              <w:jc w:val="both"/>
            </w:pPr>
            <w:r>
              <w:rPr>
                <w:rFonts w:ascii="標楷體" w:eastAsia="標楷體" w:cs="標楷體" w:hint="eastAsia"/>
              </w:rPr>
              <w:t>五、其他必要查證事項。</w:t>
            </w:r>
          </w:p>
        </w:tc>
      </w:tr>
      <w:tr w:rsidR="00AE7862" w:rsidTr="00FC317D">
        <w:trPr>
          <w:trHeight w:hRule="exact" w:val="4380"/>
        </w:trPr>
        <w:tc>
          <w:tcPr>
            <w:tcW w:w="1393" w:type="dxa"/>
            <w:tcBorders>
              <w:top w:val="nil"/>
              <w:left w:val="nil"/>
              <w:bottom w:val="nil"/>
              <w:right w:val="nil"/>
            </w:tcBorders>
          </w:tcPr>
          <w:p w:rsidR="00AE7862" w:rsidRDefault="00AE7862" w:rsidP="00FC317D">
            <w:pPr>
              <w:pStyle w:val="TableParagraph"/>
              <w:kinsoku w:val="0"/>
              <w:overflowPunct w:val="0"/>
              <w:spacing w:before="16"/>
              <w:ind w:left="230"/>
            </w:pPr>
            <w:hyperlink r:id="rId15" w:history="1">
              <w:r>
                <w:rPr>
                  <w:rFonts w:ascii="標楷體" w:eastAsia="標楷體" w:cs="標楷體" w:hint="eastAsia"/>
                </w:rPr>
                <w:t>第</w:t>
              </w:r>
              <w:r>
                <w:rPr>
                  <w:rFonts w:eastAsia="標楷體"/>
                </w:rPr>
                <w:t>10</w:t>
              </w:r>
              <w:r>
                <w:rPr>
                  <w:rFonts w:ascii="標楷體" w:eastAsia="標楷體" w:cs="標楷體" w:hint="eastAsia"/>
                </w:rPr>
                <w:t>條</w:t>
              </w:r>
            </w:hyperlink>
          </w:p>
        </w:tc>
        <w:tc>
          <w:tcPr>
            <w:tcW w:w="8113" w:type="dxa"/>
            <w:tcBorders>
              <w:top w:val="nil"/>
              <w:left w:val="nil"/>
              <w:bottom w:val="nil"/>
              <w:right w:val="nil"/>
            </w:tcBorders>
          </w:tcPr>
          <w:p w:rsidR="00AE7862" w:rsidRDefault="00AE7862" w:rsidP="00FC317D">
            <w:pPr>
              <w:pStyle w:val="TableParagraph"/>
              <w:kinsoku w:val="0"/>
              <w:overflowPunct w:val="0"/>
              <w:spacing w:before="16" w:line="275" w:lineRule="auto"/>
              <w:ind w:left="202" w:right="3348"/>
              <w:rPr>
                <w:rFonts w:ascii="標楷體" w:eastAsia="標楷體" w:cs="標楷體"/>
              </w:rPr>
            </w:pPr>
            <w:r>
              <w:rPr>
                <w:rFonts w:ascii="標楷體" w:eastAsia="標楷體" w:cs="標楷體" w:hint="eastAsia"/>
              </w:rPr>
              <w:t>國外學歷有下列情形之</w:t>
            </w:r>
            <w:proofErr w:type="gramStart"/>
            <w:r>
              <w:rPr>
                <w:rFonts w:ascii="標楷體" w:eastAsia="標楷體" w:cs="標楷體" w:hint="eastAsia"/>
              </w:rPr>
              <w:t>一</w:t>
            </w:r>
            <w:proofErr w:type="gramEnd"/>
            <w:r>
              <w:rPr>
                <w:rFonts w:ascii="標楷體" w:eastAsia="標楷體" w:cs="標楷體" w:hint="eastAsia"/>
              </w:rPr>
              <w:t>者，不予採認：一、經函授方式取得。</w:t>
            </w:r>
          </w:p>
          <w:p w:rsidR="00AE7862" w:rsidRDefault="00AE7862" w:rsidP="00FC317D">
            <w:pPr>
              <w:pStyle w:val="TableParagraph"/>
              <w:kinsoku w:val="0"/>
              <w:overflowPunct w:val="0"/>
              <w:spacing w:before="16" w:line="275" w:lineRule="auto"/>
              <w:ind w:left="202" w:right="3348"/>
              <w:rPr>
                <w:rFonts w:ascii="標楷體" w:eastAsia="標楷體" w:cs="標楷體"/>
              </w:rPr>
            </w:pPr>
            <w:r>
              <w:rPr>
                <w:rFonts w:ascii="標楷體" w:eastAsia="標楷體" w:cs="標楷體" w:hint="eastAsia"/>
              </w:rPr>
              <w:t>二、各類研習班所取得之修課證書（明）。</w:t>
            </w:r>
          </w:p>
          <w:p w:rsidR="00AE7862" w:rsidRDefault="00AE7862" w:rsidP="00FC317D">
            <w:pPr>
              <w:pStyle w:val="TableParagraph"/>
              <w:kinsoku w:val="0"/>
              <w:overflowPunct w:val="0"/>
              <w:spacing w:before="11" w:line="275" w:lineRule="auto"/>
              <w:ind w:left="682" w:right="228" w:hanging="480"/>
              <w:rPr>
                <w:rFonts w:ascii="標楷體" w:eastAsia="標楷體" w:cs="標楷體"/>
              </w:rPr>
            </w:pPr>
            <w:r>
              <w:rPr>
                <w:rFonts w:ascii="標楷體" w:eastAsia="標楷體" w:cs="標楷體" w:hint="eastAsia"/>
              </w:rPr>
              <w:t>三、取得博士學位候選人資格未獲得博士學位，申請</w:t>
            </w:r>
            <w:proofErr w:type="gramStart"/>
            <w:r>
              <w:rPr>
                <w:rFonts w:ascii="標楷體" w:eastAsia="標楷體" w:cs="標楷體" w:hint="eastAsia"/>
              </w:rPr>
              <w:t>採</w:t>
            </w:r>
            <w:proofErr w:type="gramEnd"/>
            <w:r>
              <w:rPr>
                <w:rFonts w:ascii="標楷體" w:eastAsia="標楷體" w:cs="標楷體" w:hint="eastAsia"/>
              </w:rPr>
              <w:t>認相當於碩士學位資格。</w:t>
            </w:r>
          </w:p>
          <w:p w:rsidR="00AE7862" w:rsidRDefault="00AE7862" w:rsidP="00FC317D">
            <w:pPr>
              <w:pStyle w:val="TableParagraph"/>
              <w:kinsoku w:val="0"/>
              <w:overflowPunct w:val="0"/>
              <w:spacing w:before="11" w:line="275" w:lineRule="auto"/>
              <w:ind w:left="202" w:right="228"/>
              <w:rPr>
                <w:rFonts w:ascii="標楷體" w:eastAsia="標楷體" w:cs="標楷體"/>
              </w:rPr>
            </w:pPr>
            <w:r>
              <w:rPr>
                <w:rFonts w:ascii="標楷體" w:eastAsia="標楷體" w:cs="標楷體" w:hint="eastAsia"/>
              </w:rPr>
              <w:t>四、未經註冊入學及修業，僅以論文著作取得博士學位。</w:t>
            </w:r>
          </w:p>
          <w:p w:rsidR="00AE7862" w:rsidRDefault="00AE7862" w:rsidP="00FC317D">
            <w:pPr>
              <w:pStyle w:val="TableParagraph"/>
              <w:kinsoku w:val="0"/>
              <w:overflowPunct w:val="0"/>
              <w:spacing w:before="11" w:line="275" w:lineRule="auto"/>
              <w:ind w:left="202" w:right="228"/>
              <w:rPr>
                <w:rFonts w:ascii="標楷體" w:eastAsia="標楷體" w:cs="標楷體"/>
              </w:rPr>
            </w:pPr>
            <w:r>
              <w:rPr>
                <w:rFonts w:ascii="標楷體" w:eastAsia="標楷體" w:cs="標楷體" w:hint="eastAsia"/>
              </w:rPr>
              <w:t>五、名（榮）譽學位。</w:t>
            </w:r>
          </w:p>
          <w:p w:rsidR="00AE7862" w:rsidRDefault="00AE7862" w:rsidP="00FC317D">
            <w:pPr>
              <w:pStyle w:val="TableParagraph"/>
              <w:kinsoku w:val="0"/>
              <w:overflowPunct w:val="0"/>
              <w:spacing w:before="11" w:line="275" w:lineRule="auto"/>
              <w:ind w:left="202" w:right="228"/>
              <w:rPr>
                <w:rFonts w:ascii="標楷體" w:eastAsia="標楷體" w:cs="標楷體"/>
              </w:rPr>
            </w:pPr>
            <w:r>
              <w:rPr>
                <w:rFonts w:ascii="標楷體" w:eastAsia="標楷體" w:cs="標楷體" w:hint="eastAsia"/>
              </w:rPr>
              <w:t>六、非使用中文之國家或地區，以中文授課所頒授之學歷。但不包括高級</w:t>
            </w:r>
          </w:p>
          <w:p w:rsidR="00AE7862" w:rsidRDefault="00AE7862" w:rsidP="00FC317D">
            <w:pPr>
              <w:pStyle w:val="TableParagraph"/>
              <w:kinsoku w:val="0"/>
              <w:overflowPunct w:val="0"/>
              <w:spacing w:before="11" w:line="275" w:lineRule="auto"/>
              <w:ind w:left="202" w:right="228" w:firstLine="480"/>
              <w:rPr>
                <w:rFonts w:ascii="標楷體" w:eastAsia="標楷體" w:cs="標楷體"/>
              </w:rPr>
            </w:pPr>
            <w:r>
              <w:rPr>
                <w:rFonts w:ascii="標楷體" w:eastAsia="標楷體" w:cs="標楷體" w:hint="eastAsia"/>
              </w:rPr>
              <w:t>中等學校學歷。</w:t>
            </w:r>
          </w:p>
          <w:p w:rsidR="00AE7862" w:rsidRDefault="00AE7862" w:rsidP="00FC317D">
            <w:pPr>
              <w:pStyle w:val="TableParagraph"/>
              <w:kinsoku w:val="0"/>
              <w:overflowPunct w:val="0"/>
              <w:spacing w:before="11" w:line="275" w:lineRule="auto"/>
              <w:ind w:left="202" w:right="228"/>
              <w:rPr>
                <w:rFonts w:ascii="標楷體" w:eastAsia="標楷體" w:cs="標楷體"/>
              </w:rPr>
            </w:pPr>
            <w:r>
              <w:rPr>
                <w:rFonts w:ascii="標楷體" w:eastAsia="標楷體" w:cs="標楷體" w:hint="eastAsia"/>
              </w:rPr>
              <w:t>七、未經本部核定，在我國所設分校、分部及學位專班，或以國外學校名</w:t>
            </w:r>
          </w:p>
          <w:p w:rsidR="00AE7862" w:rsidRDefault="00AE7862" w:rsidP="00FC317D">
            <w:pPr>
              <w:pStyle w:val="TableParagraph"/>
              <w:kinsoku w:val="0"/>
              <w:overflowPunct w:val="0"/>
              <w:spacing w:before="11" w:line="275" w:lineRule="auto"/>
              <w:ind w:left="202" w:right="2388" w:firstLine="480"/>
              <w:rPr>
                <w:rFonts w:ascii="標楷體" w:eastAsia="標楷體" w:cs="標楷體"/>
              </w:rPr>
            </w:pPr>
            <w:r>
              <w:rPr>
                <w:rFonts w:ascii="標楷體" w:eastAsia="標楷體" w:cs="標楷體" w:hint="eastAsia"/>
              </w:rPr>
              <w:t>義委託機構在國內招生授課取得之學歷。</w:t>
            </w:r>
          </w:p>
          <w:p w:rsidR="00AE7862" w:rsidRDefault="00AE7862" w:rsidP="00FC317D">
            <w:pPr>
              <w:pStyle w:val="TableParagraph"/>
              <w:kinsoku w:val="0"/>
              <w:overflowPunct w:val="0"/>
              <w:spacing w:before="11" w:line="275" w:lineRule="auto"/>
              <w:ind w:left="202" w:right="2388"/>
            </w:pPr>
            <w:r>
              <w:rPr>
                <w:rFonts w:ascii="標楷體" w:eastAsia="標楷體" w:cs="標楷體" w:hint="eastAsia"/>
              </w:rPr>
              <w:t>八、以遠距教學方式取得之學歷不符第七條規定者。</w:t>
            </w:r>
          </w:p>
        </w:tc>
      </w:tr>
      <w:tr w:rsidR="00AE7862" w:rsidTr="00FC317D">
        <w:trPr>
          <w:trHeight w:hRule="exact" w:val="1860"/>
        </w:trPr>
        <w:tc>
          <w:tcPr>
            <w:tcW w:w="1393" w:type="dxa"/>
            <w:tcBorders>
              <w:top w:val="nil"/>
              <w:left w:val="nil"/>
              <w:bottom w:val="nil"/>
              <w:right w:val="nil"/>
            </w:tcBorders>
          </w:tcPr>
          <w:p w:rsidR="00AE7862" w:rsidRDefault="00AE7862" w:rsidP="00FC317D">
            <w:pPr>
              <w:pStyle w:val="TableParagraph"/>
              <w:kinsoku w:val="0"/>
              <w:overflowPunct w:val="0"/>
              <w:spacing w:before="16"/>
              <w:ind w:left="230"/>
            </w:pPr>
            <w:hyperlink r:id="rId16" w:history="1">
              <w:r>
                <w:rPr>
                  <w:rFonts w:ascii="標楷體" w:eastAsia="標楷體" w:cs="標楷體" w:hint="eastAsia"/>
                </w:rPr>
                <w:t>第</w:t>
              </w:r>
              <w:r>
                <w:rPr>
                  <w:rFonts w:eastAsia="標楷體"/>
                </w:rPr>
                <w:t>11</w:t>
              </w:r>
              <w:r>
                <w:rPr>
                  <w:rFonts w:ascii="標楷體" w:eastAsia="標楷體" w:cs="標楷體" w:hint="eastAsia"/>
                </w:rPr>
                <w:t>條</w:t>
              </w:r>
            </w:hyperlink>
          </w:p>
        </w:tc>
        <w:tc>
          <w:tcPr>
            <w:tcW w:w="8113" w:type="dxa"/>
            <w:tcBorders>
              <w:top w:val="nil"/>
              <w:left w:val="nil"/>
              <w:bottom w:val="nil"/>
              <w:right w:val="nil"/>
            </w:tcBorders>
          </w:tcPr>
          <w:p w:rsidR="00AE7862" w:rsidRDefault="00AE7862" w:rsidP="00FC317D">
            <w:pPr>
              <w:pStyle w:val="TableParagraph"/>
              <w:kinsoku w:val="0"/>
              <w:overflowPunct w:val="0"/>
              <w:spacing w:before="16" w:line="275" w:lineRule="auto"/>
              <w:ind w:left="202" w:right="228"/>
              <w:jc w:val="both"/>
              <w:rPr>
                <w:rFonts w:ascii="標楷體" w:eastAsia="標楷體" w:cs="標楷體"/>
              </w:rPr>
            </w:pPr>
            <w:r>
              <w:rPr>
                <w:rFonts w:ascii="標楷體" w:eastAsia="標楷體" w:cs="標楷體" w:hint="eastAsia"/>
              </w:rPr>
              <w:t>申請人所提供之各項證件，有偽造、變造、冒用等</w:t>
            </w:r>
            <w:proofErr w:type="gramStart"/>
            <w:r>
              <w:rPr>
                <w:rFonts w:ascii="標楷體" w:eastAsia="標楷體" w:cs="標楷體" w:hint="eastAsia"/>
              </w:rPr>
              <w:t>不</w:t>
            </w:r>
            <w:proofErr w:type="gramEnd"/>
            <w:r>
              <w:rPr>
                <w:rFonts w:ascii="標楷體" w:eastAsia="標楷體" w:cs="標楷體" w:hint="eastAsia"/>
              </w:rPr>
              <w:t>實情事，經調查屬實者，應予撤銷其學歷之採認。獲錄取者，撤銷其入學許可；已註冊入學者</w:t>
            </w:r>
          </w:p>
          <w:p w:rsidR="00AE7862" w:rsidRDefault="00AE7862" w:rsidP="00FC317D">
            <w:pPr>
              <w:pStyle w:val="TableParagraph"/>
              <w:kinsoku w:val="0"/>
              <w:overflowPunct w:val="0"/>
              <w:spacing w:before="11" w:line="275" w:lineRule="auto"/>
              <w:ind w:left="202" w:right="228"/>
              <w:jc w:val="both"/>
            </w:pPr>
            <w:r>
              <w:rPr>
                <w:rFonts w:ascii="標楷體" w:eastAsia="標楷體" w:cs="標楷體" w:hint="eastAsia"/>
              </w:rPr>
              <w:t>，撤銷其學籍，且不發給與修業有關之任何證明文件；畢業後發現者，撤銷畢業資格，並請申請人繳還及註銷學位證書；涉及刑事責任者，移送檢察機關依法辦理。</w:t>
            </w:r>
          </w:p>
        </w:tc>
      </w:tr>
      <w:tr w:rsidR="00AE7862" w:rsidTr="00FC317D">
        <w:trPr>
          <w:trHeight w:hRule="exact" w:val="780"/>
        </w:trPr>
        <w:tc>
          <w:tcPr>
            <w:tcW w:w="1393" w:type="dxa"/>
            <w:tcBorders>
              <w:top w:val="nil"/>
              <w:left w:val="nil"/>
              <w:bottom w:val="nil"/>
              <w:right w:val="nil"/>
            </w:tcBorders>
          </w:tcPr>
          <w:p w:rsidR="00AE7862" w:rsidRDefault="00AE7862" w:rsidP="00FC317D">
            <w:pPr>
              <w:pStyle w:val="TableParagraph"/>
              <w:kinsoku w:val="0"/>
              <w:overflowPunct w:val="0"/>
              <w:spacing w:before="16"/>
              <w:ind w:left="230"/>
            </w:pPr>
            <w:hyperlink r:id="rId17" w:history="1">
              <w:r>
                <w:rPr>
                  <w:rFonts w:ascii="標楷體" w:eastAsia="標楷體" w:cs="標楷體" w:hint="eastAsia"/>
                </w:rPr>
                <w:t>第</w:t>
              </w:r>
              <w:r>
                <w:rPr>
                  <w:rFonts w:eastAsia="標楷體"/>
                </w:rPr>
                <w:t>12</w:t>
              </w:r>
              <w:r>
                <w:rPr>
                  <w:rFonts w:ascii="標楷體" w:eastAsia="標楷體" w:cs="標楷體" w:hint="eastAsia"/>
                </w:rPr>
                <w:t>條</w:t>
              </w:r>
            </w:hyperlink>
          </w:p>
        </w:tc>
        <w:tc>
          <w:tcPr>
            <w:tcW w:w="8113" w:type="dxa"/>
            <w:tcBorders>
              <w:top w:val="nil"/>
              <w:left w:val="nil"/>
              <w:bottom w:val="nil"/>
              <w:right w:val="nil"/>
            </w:tcBorders>
          </w:tcPr>
          <w:p w:rsidR="00AE7862" w:rsidRDefault="00AE7862" w:rsidP="00FC317D">
            <w:pPr>
              <w:pStyle w:val="TableParagraph"/>
              <w:kinsoku w:val="0"/>
              <w:overflowPunct w:val="0"/>
              <w:spacing w:before="16" w:line="275" w:lineRule="auto"/>
              <w:ind w:left="202" w:right="228"/>
            </w:pPr>
            <w:r>
              <w:rPr>
                <w:rFonts w:ascii="標楷體" w:eastAsia="標楷體" w:cs="標楷體" w:hint="eastAsia"/>
              </w:rPr>
              <w:t>國內各用人或考試機構</w:t>
            </w:r>
            <w:proofErr w:type="gramStart"/>
            <w:r>
              <w:rPr>
                <w:rFonts w:ascii="標楷體" w:eastAsia="標楷體" w:cs="標楷體" w:hint="eastAsia"/>
              </w:rPr>
              <w:t>採</w:t>
            </w:r>
            <w:proofErr w:type="gramEnd"/>
            <w:r>
              <w:rPr>
                <w:rFonts w:ascii="標楷體" w:eastAsia="標楷體" w:cs="標楷體" w:hint="eastAsia"/>
              </w:rPr>
              <w:t>認國外學歷者，得由各該主管機關參照本辦法規定辦理。</w:t>
            </w:r>
          </w:p>
        </w:tc>
      </w:tr>
      <w:tr w:rsidR="00AE7862" w:rsidTr="00FC317D">
        <w:trPr>
          <w:trHeight w:hRule="exact" w:val="390"/>
        </w:trPr>
        <w:tc>
          <w:tcPr>
            <w:tcW w:w="1393" w:type="dxa"/>
            <w:tcBorders>
              <w:top w:val="nil"/>
              <w:left w:val="nil"/>
              <w:bottom w:val="nil"/>
              <w:right w:val="nil"/>
            </w:tcBorders>
          </w:tcPr>
          <w:p w:rsidR="00AE7862" w:rsidRDefault="00AE7862" w:rsidP="00FC317D">
            <w:pPr>
              <w:pStyle w:val="TableParagraph"/>
              <w:kinsoku w:val="0"/>
              <w:overflowPunct w:val="0"/>
              <w:spacing w:before="16"/>
              <w:ind w:left="230"/>
            </w:pPr>
            <w:hyperlink r:id="rId18" w:history="1">
              <w:r>
                <w:rPr>
                  <w:rFonts w:ascii="標楷體" w:eastAsia="標楷體" w:cs="標楷體" w:hint="eastAsia"/>
                </w:rPr>
                <w:t>第</w:t>
              </w:r>
              <w:r>
                <w:rPr>
                  <w:rFonts w:eastAsia="標楷體"/>
                </w:rPr>
                <w:t>13</w:t>
              </w:r>
              <w:r>
                <w:rPr>
                  <w:rFonts w:ascii="標楷體" w:eastAsia="標楷體" w:cs="標楷體" w:hint="eastAsia"/>
                </w:rPr>
                <w:t>條</w:t>
              </w:r>
            </w:hyperlink>
          </w:p>
        </w:tc>
        <w:tc>
          <w:tcPr>
            <w:tcW w:w="8113" w:type="dxa"/>
            <w:tcBorders>
              <w:top w:val="nil"/>
              <w:left w:val="nil"/>
              <w:bottom w:val="nil"/>
              <w:right w:val="nil"/>
            </w:tcBorders>
          </w:tcPr>
          <w:p w:rsidR="00AE7862" w:rsidRDefault="00AE7862" w:rsidP="00FC317D">
            <w:pPr>
              <w:pStyle w:val="TableParagraph"/>
              <w:kinsoku w:val="0"/>
              <w:overflowPunct w:val="0"/>
              <w:spacing w:before="16"/>
              <w:ind w:left="202"/>
              <w:rPr>
                <w:rFonts w:ascii="標楷體" w:eastAsia="標楷體" w:cs="標楷體"/>
              </w:rPr>
            </w:pPr>
            <w:r>
              <w:rPr>
                <w:rFonts w:ascii="標楷體" w:eastAsia="標楷體" w:cs="標楷體" w:hint="eastAsia"/>
              </w:rPr>
              <w:t>本辦法自發布日施行。</w:t>
            </w:r>
          </w:p>
          <w:p w:rsidR="00AE7862" w:rsidRDefault="00AE7862" w:rsidP="00FC317D">
            <w:pPr>
              <w:pStyle w:val="TableParagraph"/>
              <w:kinsoku w:val="0"/>
              <w:overflowPunct w:val="0"/>
              <w:spacing w:before="16"/>
              <w:ind w:left="202"/>
              <w:rPr>
                <w:rFonts w:ascii="標楷體" w:eastAsia="標楷體" w:cs="標楷體"/>
              </w:rPr>
            </w:pPr>
          </w:p>
          <w:p w:rsidR="00AE7862" w:rsidRDefault="00AE7862" w:rsidP="00FC317D">
            <w:pPr>
              <w:pStyle w:val="TableParagraph"/>
              <w:kinsoku w:val="0"/>
              <w:overflowPunct w:val="0"/>
              <w:spacing w:before="16"/>
              <w:ind w:left="202"/>
              <w:rPr>
                <w:rFonts w:ascii="標楷體" w:eastAsia="標楷體" w:cs="標楷體"/>
              </w:rPr>
            </w:pPr>
          </w:p>
          <w:p w:rsidR="00AE7862" w:rsidRDefault="00AE7862" w:rsidP="00FC317D">
            <w:pPr>
              <w:pStyle w:val="TableParagraph"/>
              <w:kinsoku w:val="0"/>
              <w:overflowPunct w:val="0"/>
              <w:spacing w:before="16"/>
              <w:ind w:left="202"/>
              <w:rPr>
                <w:rFonts w:ascii="標楷體" w:eastAsia="標楷體" w:cs="標楷體"/>
              </w:rPr>
            </w:pPr>
          </w:p>
          <w:p w:rsidR="00AE7862" w:rsidRDefault="00AE7862" w:rsidP="00FC317D">
            <w:pPr>
              <w:pStyle w:val="TableParagraph"/>
              <w:kinsoku w:val="0"/>
              <w:overflowPunct w:val="0"/>
              <w:spacing w:before="16"/>
              <w:ind w:left="202"/>
            </w:pPr>
          </w:p>
        </w:tc>
      </w:tr>
    </w:tbl>
    <w:p w:rsidR="00AE7862" w:rsidRDefault="00AE7862" w:rsidP="00AE7862"/>
    <w:p w:rsidR="009E5FEA" w:rsidRPr="00AE7862" w:rsidRDefault="009E5FEA" w:rsidP="00AE7862"/>
    <w:sectPr w:rsidR="009E5FEA" w:rsidRPr="00AE7862" w:rsidSect="0021640A">
      <w:footerReference w:type="default" r:id="rId19"/>
      <w:pgSz w:w="11910" w:h="16840"/>
      <w:pgMar w:top="840" w:right="1360" w:bottom="640" w:left="820" w:header="0" w:footer="442" w:gutter="0"/>
      <w:cols w:space="720" w:equalWidth="0">
        <w:col w:w="97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17D" w:rsidRDefault="00FC317D">
      <w:r>
        <w:separator/>
      </w:r>
    </w:p>
  </w:endnote>
  <w:endnote w:type="continuationSeparator" w:id="0">
    <w:p w:rsidR="00FC317D" w:rsidRDefault="00FC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29D" w:rsidRPr="00042CCD" w:rsidRDefault="00C3229D">
    <w:pPr>
      <w:pStyle w:val="a3"/>
      <w:kinsoku w:val="0"/>
      <w:overflowPunct w:val="0"/>
      <w:spacing w:line="14" w:lineRule="auto"/>
      <w:ind w:left="0"/>
      <w:rPr>
        <w:rFonts w:ascii="Times New Roman" w:eastAsia="新細明體"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17D" w:rsidRDefault="00FC317D">
      <w:r>
        <w:separator/>
      </w:r>
    </w:p>
  </w:footnote>
  <w:footnote w:type="continuationSeparator" w:id="0">
    <w:p w:rsidR="00FC317D" w:rsidRDefault="00FC3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E2"/>
    <w:rsid w:val="00011B8E"/>
    <w:rsid w:val="00022B3A"/>
    <w:rsid w:val="00042CCD"/>
    <w:rsid w:val="00047F79"/>
    <w:rsid w:val="0007559C"/>
    <w:rsid w:val="0008180A"/>
    <w:rsid w:val="000914BE"/>
    <w:rsid w:val="000C6477"/>
    <w:rsid w:val="000F5335"/>
    <w:rsid w:val="00110F81"/>
    <w:rsid w:val="0011289A"/>
    <w:rsid w:val="00134497"/>
    <w:rsid w:val="00135EAD"/>
    <w:rsid w:val="00166F63"/>
    <w:rsid w:val="001703A7"/>
    <w:rsid w:val="00197C51"/>
    <w:rsid w:val="00197D3F"/>
    <w:rsid w:val="001A26EB"/>
    <w:rsid w:val="001B27F2"/>
    <w:rsid w:val="001B2F7E"/>
    <w:rsid w:val="001E43F2"/>
    <w:rsid w:val="001F366D"/>
    <w:rsid w:val="001F4B40"/>
    <w:rsid w:val="0021640A"/>
    <w:rsid w:val="0024453C"/>
    <w:rsid w:val="002820BE"/>
    <w:rsid w:val="002C568D"/>
    <w:rsid w:val="002F7199"/>
    <w:rsid w:val="00300142"/>
    <w:rsid w:val="0032435F"/>
    <w:rsid w:val="003256B8"/>
    <w:rsid w:val="003264B8"/>
    <w:rsid w:val="00351CFF"/>
    <w:rsid w:val="00360A30"/>
    <w:rsid w:val="003711DB"/>
    <w:rsid w:val="003A6605"/>
    <w:rsid w:val="003D05A5"/>
    <w:rsid w:val="00405072"/>
    <w:rsid w:val="00411996"/>
    <w:rsid w:val="00417553"/>
    <w:rsid w:val="00480F37"/>
    <w:rsid w:val="004A7414"/>
    <w:rsid w:val="004C702C"/>
    <w:rsid w:val="004F2479"/>
    <w:rsid w:val="00505BEA"/>
    <w:rsid w:val="0054307D"/>
    <w:rsid w:val="00552C1A"/>
    <w:rsid w:val="005831D0"/>
    <w:rsid w:val="00590CB9"/>
    <w:rsid w:val="005B24E2"/>
    <w:rsid w:val="00653DD4"/>
    <w:rsid w:val="006E52AB"/>
    <w:rsid w:val="006F3013"/>
    <w:rsid w:val="00727BEC"/>
    <w:rsid w:val="00732EF9"/>
    <w:rsid w:val="00736262"/>
    <w:rsid w:val="00741C49"/>
    <w:rsid w:val="00746CD3"/>
    <w:rsid w:val="00774DAF"/>
    <w:rsid w:val="007E05F4"/>
    <w:rsid w:val="00811FE0"/>
    <w:rsid w:val="0083191E"/>
    <w:rsid w:val="0086682D"/>
    <w:rsid w:val="00877CE1"/>
    <w:rsid w:val="0088148F"/>
    <w:rsid w:val="00892541"/>
    <w:rsid w:val="008C0BAE"/>
    <w:rsid w:val="008C6D4B"/>
    <w:rsid w:val="008F4651"/>
    <w:rsid w:val="0093218C"/>
    <w:rsid w:val="00932708"/>
    <w:rsid w:val="0094760D"/>
    <w:rsid w:val="00964E93"/>
    <w:rsid w:val="009D496B"/>
    <w:rsid w:val="009E5FEA"/>
    <w:rsid w:val="00A91302"/>
    <w:rsid w:val="00A94702"/>
    <w:rsid w:val="00AE36A6"/>
    <w:rsid w:val="00AE7862"/>
    <w:rsid w:val="00B2596D"/>
    <w:rsid w:val="00B25A2B"/>
    <w:rsid w:val="00B54B63"/>
    <w:rsid w:val="00B62135"/>
    <w:rsid w:val="00BB1F6B"/>
    <w:rsid w:val="00BD4523"/>
    <w:rsid w:val="00C3229D"/>
    <w:rsid w:val="00C339C8"/>
    <w:rsid w:val="00C351CD"/>
    <w:rsid w:val="00C35822"/>
    <w:rsid w:val="00C5298F"/>
    <w:rsid w:val="00C76393"/>
    <w:rsid w:val="00CD4CEA"/>
    <w:rsid w:val="00CF4F28"/>
    <w:rsid w:val="00D16378"/>
    <w:rsid w:val="00D23004"/>
    <w:rsid w:val="00D32D88"/>
    <w:rsid w:val="00D46AA1"/>
    <w:rsid w:val="00DB771A"/>
    <w:rsid w:val="00DC632A"/>
    <w:rsid w:val="00DD4DFC"/>
    <w:rsid w:val="00DE7DF8"/>
    <w:rsid w:val="00DF4090"/>
    <w:rsid w:val="00E27981"/>
    <w:rsid w:val="00E4053C"/>
    <w:rsid w:val="00EC5D51"/>
    <w:rsid w:val="00ED3B05"/>
    <w:rsid w:val="00EE6C92"/>
    <w:rsid w:val="00EF3EC5"/>
    <w:rsid w:val="00F3191B"/>
    <w:rsid w:val="00F6382D"/>
    <w:rsid w:val="00F667E6"/>
    <w:rsid w:val="00FA1845"/>
    <w:rsid w:val="00FB334A"/>
    <w:rsid w:val="00FB56C0"/>
    <w:rsid w:val="00FC317D"/>
    <w:rsid w:val="00FD64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D32F9192-B79D-4F07-B975-E7438CB6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155"/>
      <w:outlineLvl w:val="0"/>
    </w:pPr>
    <w:rPr>
      <w:rFonts w:ascii="標楷體" w:eastAsia="標楷體" w:cs="標楷體"/>
      <w:b/>
      <w:bCs/>
      <w:sz w:val="32"/>
      <w:szCs w:val="32"/>
    </w:rPr>
  </w:style>
  <w:style w:type="paragraph" w:styleId="2">
    <w:name w:val="heading 2"/>
    <w:basedOn w:val="a"/>
    <w:next w:val="a"/>
    <w:link w:val="20"/>
    <w:uiPriority w:val="1"/>
    <w:qFormat/>
    <w:pPr>
      <w:ind w:left="173"/>
      <w:outlineLvl w:val="1"/>
    </w:pPr>
    <w:rPr>
      <w:sz w:val="32"/>
      <w:szCs w:val="32"/>
    </w:rPr>
  </w:style>
  <w:style w:type="paragraph" w:styleId="3">
    <w:name w:val="heading 3"/>
    <w:basedOn w:val="a"/>
    <w:next w:val="a"/>
    <w:link w:val="30"/>
    <w:uiPriority w:val="1"/>
    <w:qFormat/>
    <w:pPr>
      <w:ind w:left="112"/>
      <w:outlineLvl w:val="2"/>
    </w:pPr>
    <w:rPr>
      <w:rFonts w:ascii="標楷體" w:eastAsia="標楷體" w:cs="標楷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libri Light" w:eastAsia="新細明體" w:hAnsi="Calibri Light" w:cs="Times New Roman"/>
      <w:b/>
      <w:bCs/>
      <w:kern w:val="52"/>
      <w:sz w:val="52"/>
      <w:szCs w:val="52"/>
    </w:rPr>
  </w:style>
  <w:style w:type="character" w:customStyle="1" w:styleId="20">
    <w:name w:val="標題 2 字元"/>
    <w:link w:val="2"/>
    <w:uiPriority w:val="9"/>
    <w:semiHidden/>
    <w:locked/>
    <w:rPr>
      <w:rFonts w:ascii="Calibri Light" w:eastAsia="新細明體" w:hAnsi="Calibri Light" w:cs="Times New Roman"/>
      <w:b/>
      <w:bCs/>
      <w:kern w:val="0"/>
      <w:sz w:val="48"/>
      <w:szCs w:val="48"/>
    </w:rPr>
  </w:style>
  <w:style w:type="character" w:customStyle="1" w:styleId="30">
    <w:name w:val="標題 3 字元"/>
    <w:link w:val="3"/>
    <w:uiPriority w:val="9"/>
    <w:semiHidden/>
    <w:locked/>
    <w:rPr>
      <w:rFonts w:ascii="Calibri Light" w:eastAsia="新細明體" w:hAnsi="Calibri Light" w:cs="Times New Roman"/>
      <w:b/>
      <w:bCs/>
      <w:kern w:val="0"/>
      <w:sz w:val="36"/>
      <w:szCs w:val="36"/>
    </w:rPr>
  </w:style>
  <w:style w:type="paragraph" w:styleId="a3">
    <w:name w:val="Body Text"/>
    <w:basedOn w:val="a"/>
    <w:link w:val="a4"/>
    <w:uiPriority w:val="1"/>
    <w:qFormat/>
    <w:pPr>
      <w:ind w:left="112"/>
    </w:pPr>
    <w:rPr>
      <w:rFonts w:ascii="標楷體" w:eastAsia="標楷體" w:cs="標楷體"/>
      <w:sz w:val="28"/>
      <w:szCs w:val="28"/>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uiPriority w:val="99"/>
    <w:unhideWhenUsed/>
    <w:rsid w:val="008F4651"/>
    <w:rPr>
      <w:rFonts w:cs="Times New Roman"/>
      <w:color w:val="0563C1"/>
      <w:u w:val="single"/>
    </w:rPr>
  </w:style>
  <w:style w:type="paragraph" w:styleId="a7">
    <w:name w:val="Balloon Text"/>
    <w:basedOn w:val="a"/>
    <w:link w:val="a8"/>
    <w:uiPriority w:val="99"/>
    <w:semiHidden/>
    <w:unhideWhenUsed/>
    <w:rsid w:val="00DB771A"/>
    <w:rPr>
      <w:rFonts w:ascii="Calibri Light" w:hAnsi="Calibri Light"/>
      <w:sz w:val="18"/>
      <w:szCs w:val="18"/>
    </w:rPr>
  </w:style>
  <w:style w:type="character" w:customStyle="1" w:styleId="a8">
    <w:name w:val="註解方塊文字 字元"/>
    <w:link w:val="a7"/>
    <w:uiPriority w:val="99"/>
    <w:semiHidden/>
    <w:locked/>
    <w:rsid w:val="00DB771A"/>
    <w:rPr>
      <w:rFonts w:ascii="Calibri Light" w:eastAsia="新細明體" w:hAnsi="Calibri Light" w:cs="Times New Roman"/>
      <w:kern w:val="0"/>
      <w:sz w:val="18"/>
      <w:szCs w:val="18"/>
    </w:rPr>
  </w:style>
  <w:style w:type="table" w:styleId="a9">
    <w:name w:val="Table Grid"/>
    <w:basedOn w:val="a1"/>
    <w:uiPriority w:val="39"/>
    <w:rsid w:val="0024453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3191E"/>
    <w:pPr>
      <w:tabs>
        <w:tab w:val="center" w:pos="4153"/>
        <w:tab w:val="right" w:pos="8306"/>
      </w:tabs>
      <w:snapToGrid w:val="0"/>
    </w:pPr>
    <w:rPr>
      <w:sz w:val="20"/>
      <w:szCs w:val="20"/>
    </w:rPr>
  </w:style>
  <w:style w:type="character" w:customStyle="1" w:styleId="ab">
    <w:name w:val="頁首 字元"/>
    <w:link w:val="aa"/>
    <w:uiPriority w:val="99"/>
    <w:locked/>
    <w:rsid w:val="0083191E"/>
    <w:rPr>
      <w:rFonts w:ascii="Times New Roman" w:hAnsi="Times New Roman" w:cs="Times New Roman"/>
      <w:kern w:val="0"/>
      <w:sz w:val="20"/>
      <w:szCs w:val="20"/>
    </w:rPr>
  </w:style>
  <w:style w:type="paragraph" w:styleId="ac">
    <w:name w:val="footer"/>
    <w:basedOn w:val="a"/>
    <w:link w:val="ad"/>
    <w:uiPriority w:val="99"/>
    <w:unhideWhenUsed/>
    <w:rsid w:val="0083191E"/>
    <w:pPr>
      <w:tabs>
        <w:tab w:val="center" w:pos="4153"/>
        <w:tab w:val="right" w:pos="8306"/>
      </w:tabs>
      <w:snapToGrid w:val="0"/>
    </w:pPr>
    <w:rPr>
      <w:sz w:val="20"/>
      <w:szCs w:val="20"/>
    </w:rPr>
  </w:style>
  <w:style w:type="character" w:customStyle="1" w:styleId="ad">
    <w:name w:val="頁尾 字元"/>
    <w:link w:val="ac"/>
    <w:uiPriority w:val="99"/>
    <w:locked/>
    <w:rsid w:val="0083191E"/>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H0030039&amp;amp;FLNO=3" TargetMode="External"/><Relationship Id="rId13" Type="http://schemas.openxmlformats.org/officeDocument/2006/relationships/hyperlink" Target="http://law.moj.gov.tw/LawClass/LawSingle.aspx?Pcode=H0030039&amp;amp;FLNO=8" TargetMode="External"/><Relationship Id="rId18" Type="http://schemas.openxmlformats.org/officeDocument/2006/relationships/hyperlink" Target="http://law.moj.gov.tw/LawClass/LawSingle.aspx?Pcode=H0030039&amp;amp;FLNO=1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aw.moj.gov.tw/LawClass/LawSingle.aspx?Pcode=H0030039&amp;amp;FLNO=2" TargetMode="External"/><Relationship Id="rId12" Type="http://schemas.openxmlformats.org/officeDocument/2006/relationships/hyperlink" Target="http://law.moj.gov.tw/LawClass/LawSingle.aspx?Pcode=H0030039&amp;amp;FLNO=7" TargetMode="External"/><Relationship Id="rId17" Type="http://schemas.openxmlformats.org/officeDocument/2006/relationships/hyperlink" Target="http://law.moj.gov.tw/LawClass/LawSingle.aspx?Pcode=H0030039&amp;amp;FLNO=12" TargetMode="External"/><Relationship Id="rId2" Type="http://schemas.openxmlformats.org/officeDocument/2006/relationships/settings" Target="settings.xml"/><Relationship Id="rId16" Type="http://schemas.openxmlformats.org/officeDocument/2006/relationships/hyperlink" Target="http://law.moj.gov.tw/LawClass/LawSingle.aspx?Pcode=H0030039&amp;amp;FLNO=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moj.gov.tw/LawClass/LawSingle.aspx?Pcode=H0030039&amp;amp;FLNO=1" TargetMode="External"/><Relationship Id="rId11" Type="http://schemas.openxmlformats.org/officeDocument/2006/relationships/hyperlink" Target="http://law.moj.gov.tw/LawClass/LawSingle.aspx?Pcode=H0030039&amp;amp;FLNO=6" TargetMode="External"/><Relationship Id="rId5" Type="http://schemas.openxmlformats.org/officeDocument/2006/relationships/endnotes" Target="endnotes.xml"/><Relationship Id="rId15" Type="http://schemas.openxmlformats.org/officeDocument/2006/relationships/hyperlink" Target="http://law.moj.gov.tw/LawClass/LawSingle.aspx?Pcode=H0030039&amp;amp;FLNO=10" TargetMode="External"/><Relationship Id="rId10" Type="http://schemas.openxmlformats.org/officeDocument/2006/relationships/hyperlink" Target="http://law.moj.gov.tw/LawClass/LawSingle.aspx?Pcode=H0030039&amp;amp;FLNO=5"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aw.moj.gov.tw/LawClass/LawSingle.aspx?Pcode=H0030039&amp;amp;FLNO=4" TargetMode="External"/><Relationship Id="rId14" Type="http://schemas.openxmlformats.org/officeDocument/2006/relationships/hyperlink" Target="http://law.moj.gov.tw/LawClass/LawSingle.aspx?Pcode=H0030039&amp;amp;FLNO=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Links>
    <vt:vector size="78" baseType="variant">
      <vt:variant>
        <vt:i4>1310796</vt:i4>
      </vt:variant>
      <vt:variant>
        <vt:i4>36</vt:i4>
      </vt:variant>
      <vt:variant>
        <vt:i4>0</vt:i4>
      </vt:variant>
      <vt:variant>
        <vt:i4>5</vt:i4>
      </vt:variant>
      <vt:variant>
        <vt:lpwstr>http://law.moj.gov.tw/LawClass/LawSingle.aspx?Pcode=H0030039&amp;amp;FLNO=13</vt:lpwstr>
      </vt:variant>
      <vt:variant>
        <vt:lpwstr/>
      </vt:variant>
      <vt:variant>
        <vt:i4>1376332</vt:i4>
      </vt:variant>
      <vt:variant>
        <vt:i4>33</vt:i4>
      </vt:variant>
      <vt:variant>
        <vt:i4>0</vt:i4>
      </vt:variant>
      <vt:variant>
        <vt:i4>5</vt:i4>
      </vt:variant>
      <vt:variant>
        <vt:lpwstr>http://law.moj.gov.tw/LawClass/LawSingle.aspx?Pcode=H0030039&amp;amp;FLNO=12</vt:lpwstr>
      </vt:variant>
      <vt:variant>
        <vt:lpwstr/>
      </vt:variant>
      <vt:variant>
        <vt:i4>1441868</vt:i4>
      </vt:variant>
      <vt:variant>
        <vt:i4>30</vt:i4>
      </vt:variant>
      <vt:variant>
        <vt:i4>0</vt:i4>
      </vt:variant>
      <vt:variant>
        <vt:i4>5</vt:i4>
      </vt:variant>
      <vt:variant>
        <vt:lpwstr>http://law.moj.gov.tw/LawClass/LawSingle.aspx?Pcode=H0030039&amp;amp;FLNO=11</vt:lpwstr>
      </vt:variant>
      <vt:variant>
        <vt:lpwstr/>
      </vt:variant>
      <vt:variant>
        <vt:i4>1507404</vt:i4>
      </vt:variant>
      <vt:variant>
        <vt:i4>27</vt:i4>
      </vt:variant>
      <vt:variant>
        <vt:i4>0</vt:i4>
      </vt:variant>
      <vt:variant>
        <vt:i4>5</vt:i4>
      </vt:variant>
      <vt:variant>
        <vt:lpwstr>http://law.moj.gov.tw/LawClass/LawSingle.aspx?Pcode=H0030039&amp;amp;FLNO=10</vt:lpwstr>
      </vt:variant>
      <vt:variant>
        <vt:lpwstr/>
      </vt:variant>
      <vt:variant>
        <vt:i4>2556029</vt:i4>
      </vt:variant>
      <vt:variant>
        <vt:i4>24</vt:i4>
      </vt:variant>
      <vt:variant>
        <vt:i4>0</vt:i4>
      </vt:variant>
      <vt:variant>
        <vt:i4>5</vt:i4>
      </vt:variant>
      <vt:variant>
        <vt:lpwstr>http://law.moj.gov.tw/LawClass/LawSingle.aspx?Pcode=H0030039&amp;amp;FLNO=9</vt:lpwstr>
      </vt:variant>
      <vt:variant>
        <vt:lpwstr/>
      </vt:variant>
      <vt:variant>
        <vt:i4>2556029</vt:i4>
      </vt:variant>
      <vt:variant>
        <vt:i4>21</vt:i4>
      </vt:variant>
      <vt:variant>
        <vt:i4>0</vt:i4>
      </vt:variant>
      <vt:variant>
        <vt:i4>5</vt:i4>
      </vt:variant>
      <vt:variant>
        <vt:lpwstr>http://law.moj.gov.tw/LawClass/LawSingle.aspx?Pcode=H0030039&amp;amp;FLNO=8</vt:lpwstr>
      </vt:variant>
      <vt:variant>
        <vt:lpwstr/>
      </vt:variant>
      <vt:variant>
        <vt:i4>2556029</vt:i4>
      </vt:variant>
      <vt:variant>
        <vt:i4>18</vt:i4>
      </vt:variant>
      <vt:variant>
        <vt:i4>0</vt:i4>
      </vt:variant>
      <vt:variant>
        <vt:i4>5</vt:i4>
      </vt:variant>
      <vt:variant>
        <vt:lpwstr>http://law.moj.gov.tw/LawClass/LawSingle.aspx?Pcode=H0030039&amp;amp;FLNO=7</vt:lpwstr>
      </vt:variant>
      <vt:variant>
        <vt:lpwstr/>
      </vt:variant>
      <vt:variant>
        <vt:i4>2556029</vt:i4>
      </vt:variant>
      <vt:variant>
        <vt:i4>15</vt:i4>
      </vt:variant>
      <vt:variant>
        <vt:i4>0</vt:i4>
      </vt:variant>
      <vt:variant>
        <vt:i4>5</vt:i4>
      </vt:variant>
      <vt:variant>
        <vt:lpwstr>http://law.moj.gov.tw/LawClass/LawSingle.aspx?Pcode=H0030039&amp;amp;FLNO=6</vt:lpwstr>
      </vt:variant>
      <vt:variant>
        <vt:lpwstr/>
      </vt:variant>
      <vt:variant>
        <vt:i4>2556029</vt:i4>
      </vt:variant>
      <vt:variant>
        <vt:i4>12</vt:i4>
      </vt:variant>
      <vt:variant>
        <vt:i4>0</vt:i4>
      </vt:variant>
      <vt:variant>
        <vt:i4>5</vt:i4>
      </vt:variant>
      <vt:variant>
        <vt:lpwstr>http://law.moj.gov.tw/LawClass/LawSingle.aspx?Pcode=H0030039&amp;amp;FLNO=5</vt:lpwstr>
      </vt:variant>
      <vt:variant>
        <vt:lpwstr/>
      </vt:variant>
      <vt:variant>
        <vt:i4>2556029</vt:i4>
      </vt:variant>
      <vt:variant>
        <vt:i4>9</vt:i4>
      </vt:variant>
      <vt:variant>
        <vt:i4>0</vt:i4>
      </vt:variant>
      <vt:variant>
        <vt:i4>5</vt:i4>
      </vt:variant>
      <vt:variant>
        <vt:lpwstr>http://law.moj.gov.tw/LawClass/LawSingle.aspx?Pcode=H0030039&amp;amp;FLNO=4</vt:lpwstr>
      </vt:variant>
      <vt:variant>
        <vt:lpwstr/>
      </vt:variant>
      <vt:variant>
        <vt:i4>2556029</vt:i4>
      </vt:variant>
      <vt:variant>
        <vt:i4>6</vt:i4>
      </vt:variant>
      <vt:variant>
        <vt:i4>0</vt:i4>
      </vt:variant>
      <vt:variant>
        <vt:i4>5</vt:i4>
      </vt:variant>
      <vt:variant>
        <vt:lpwstr>http://law.moj.gov.tw/LawClass/LawSingle.aspx?Pcode=H0030039&amp;amp;FLNO=3</vt:lpwstr>
      </vt:variant>
      <vt:variant>
        <vt:lpwstr/>
      </vt:variant>
      <vt:variant>
        <vt:i4>2556029</vt:i4>
      </vt:variant>
      <vt:variant>
        <vt:i4>3</vt:i4>
      </vt:variant>
      <vt:variant>
        <vt:i4>0</vt:i4>
      </vt:variant>
      <vt:variant>
        <vt:i4>5</vt:i4>
      </vt:variant>
      <vt:variant>
        <vt:lpwstr>http://law.moj.gov.tw/LawClass/LawSingle.aspx?Pcode=H0030039&amp;amp;FLNO=2</vt:lpwstr>
      </vt:variant>
      <vt:variant>
        <vt:lpwstr/>
      </vt:variant>
      <vt:variant>
        <vt:i4>2556029</vt:i4>
      </vt:variant>
      <vt:variant>
        <vt:i4>0</vt:i4>
      </vt:variant>
      <vt:variant>
        <vt:i4>0</vt:i4>
      </vt:variant>
      <vt:variant>
        <vt:i4>5</vt:i4>
      </vt:variant>
      <vt:variant>
        <vt:lpwstr>http://law.moj.gov.tw/LawClass/LawSingle.aspx?Pcode=H0030039&amp;amp;FLNO=1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龍華科技大學</dc:title>
  <dc:subject/>
  <dc:creator>Bruce Yuan</dc:creator>
  <cp:keywords/>
  <dc:description/>
  <cp:lastModifiedBy>許淑秋</cp:lastModifiedBy>
  <cp:revision>2</cp:revision>
  <cp:lastPrinted>2020-02-05T01:23:00Z</cp:lastPrinted>
  <dcterms:created xsi:type="dcterms:W3CDTF">2021-02-01T03:36:00Z</dcterms:created>
  <dcterms:modified xsi:type="dcterms:W3CDTF">2021-02-01T03:36:00Z</dcterms:modified>
</cp:coreProperties>
</file>